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67F9" w14:textId="77777777" w:rsidR="001E7A28" w:rsidRPr="00D1529E" w:rsidRDefault="001E7A28" w:rsidP="001E7A28">
      <w:pPr>
        <w:pStyle w:val="NoSpacing"/>
        <w:rPr>
          <w:rFonts w:ascii="Arial" w:hAnsi="Arial" w:cs="Arial"/>
          <w:b/>
          <w:sz w:val="20"/>
          <w:szCs w:val="20"/>
        </w:rPr>
      </w:pPr>
      <w:r w:rsidRPr="00D1529E">
        <w:rPr>
          <w:rFonts w:ascii="Arial" w:hAnsi="Arial" w:cs="Arial"/>
          <w:b/>
          <w:sz w:val="20"/>
          <w:szCs w:val="20"/>
        </w:rPr>
        <w:t>OŠ IVAN GORAN KOVAČIĆ ČEPIĆ</w:t>
      </w:r>
    </w:p>
    <w:p w14:paraId="6240C480" w14:textId="77777777" w:rsidR="001E7A28" w:rsidRPr="00D1529E" w:rsidRDefault="001E7A28" w:rsidP="001E7A28">
      <w:pPr>
        <w:pStyle w:val="NoSpacing"/>
        <w:rPr>
          <w:rFonts w:ascii="Arial" w:hAnsi="Arial" w:cs="Arial"/>
          <w:b/>
          <w:sz w:val="20"/>
          <w:szCs w:val="20"/>
        </w:rPr>
      </w:pPr>
      <w:r w:rsidRPr="00D1529E">
        <w:rPr>
          <w:rFonts w:ascii="Arial" w:hAnsi="Arial" w:cs="Arial"/>
          <w:b/>
          <w:sz w:val="20"/>
          <w:szCs w:val="20"/>
        </w:rPr>
        <w:t xml:space="preserve">PURGARIJA ČEPIĆ </w:t>
      </w:r>
    </w:p>
    <w:p w14:paraId="69BF44E1" w14:textId="77777777" w:rsidR="001E7A28" w:rsidRPr="00D1529E" w:rsidRDefault="001E7A28" w:rsidP="001E7A28">
      <w:pPr>
        <w:pStyle w:val="NoSpacing"/>
        <w:rPr>
          <w:rFonts w:ascii="Arial" w:hAnsi="Arial" w:cs="Arial"/>
          <w:b/>
          <w:sz w:val="20"/>
          <w:szCs w:val="20"/>
        </w:rPr>
      </w:pPr>
      <w:r w:rsidRPr="00D1529E">
        <w:rPr>
          <w:rFonts w:ascii="Arial" w:hAnsi="Arial" w:cs="Arial"/>
          <w:b/>
          <w:sz w:val="20"/>
          <w:szCs w:val="20"/>
        </w:rPr>
        <w:t>52232 KRŠAN</w:t>
      </w:r>
    </w:p>
    <w:p w14:paraId="69C25888" w14:textId="77777777" w:rsidR="001E7A28" w:rsidRPr="00D1529E" w:rsidRDefault="001E7A28" w:rsidP="001E7A2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FCB4FB7" w14:textId="77777777" w:rsidR="001E7A28" w:rsidRPr="00D1529E" w:rsidRDefault="001E7A28" w:rsidP="001E7A28">
      <w:pPr>
        <w:pStyle w:val="NoSpacing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RKDP: 10629                                                                RAZINA: 31</w:t>
      </w:r>
      <w:r w:rsidRPr="00D1529E">
        <w:rPr>
          <w:rFonts w:ascii="Arial" w:hAnsi="Arial" w:cs="Arial"/>
          <w:sz w:val="20"/>
          <w:szCs w:val="20"/>
        </w:rPr>
        <w:tab/>
      </w:r>
    </w:p>
    <w:p w14:paraId="15BE186B" w14:textId="77777777" w:rsidR="001E7A28" w:rsidRPr="00D1529E" w:rsidRDefault="001E7A28" w:rsidP="001E7A28">
      <w:pPr>
        <w:pStyle w:val="NoSpacing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MB:      03075079                                                         ŠIFRA DJELATNOSTI :8520</w:t>
      </w:r>
    </w:p>
    <w:p w14:paraId="38BB7ACB" w14:textId="77777777" w:rsidR="001E7A28" w:rsidRPr="00D1529E" w:rsidRDefault="001E7A28" w:rsidP="001E7A28">
      <w:pPr>
        <w:pStyle w:val="NoSpacing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OIB      83307015666                                                    RAZDJEL: 0</w:t>
      </w:r>
    </w:p>
    <w:p w14:paraId="0B6280E3" w14:textId="77777777" w:rsidR="001E7A28" w:rsidRPr="00D1529E" w:rsidRDefault="001E7A28" w:rsidP="001E7A2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CF72E59" w14:textId="77777777" w:rsidR="001E7A28" w:rsidRPr="00D1529E" w:rsidRDefault="001E7A28" w:rsidP="001E7A2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1B9FAC8" w14:textId="77777777" w:rsidR="001E7A28" w:rsidRPr="00D1529E" w:rsidRDefault="001E7A28" w:rsidP="001E7A2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6D67418" w14:textId="77777777" w:rsidR="001E7A28" w:rsidRPr="00D1529E" w:rsidRDefault="001E7A28" w:rsidP="001E7A2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1529E">
        <w:rPr>
          <w:rFonts w:ascii="Arial" w:hAnsi="Arial" w:cs="Arial"/>
          <w:b/>
          <w:sz w:val="24"/>
          <w:szCs w:val="24"/>
        </w:rPr>
        <w:t>OBRAZLOŽENJE IZVRŠENJE POLUGODIŠNJEG FINANCIJSKOG PLANA</w:t>
      </w:r>
    </w:p>
    <w:p w14:paraId="0C30815B" w14:textId="77777777" w:rsidR="001E7A28" w:rsidRPr="00D1529E" w:rsidRDefault="001E7A28" w:rsidP="001E7A2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1529E">
        <w:rPr>
          <w:rFonts w:ascii="Arial" w:hAnsi="Arial" w:cs="Arial"/>
          <w:b/>
          <w:sz w:val="24"/>
          <w:szCs w:val="24"/>
        </w:rPr>
        <w:t>ZA 2024. GODINU</w:t>
      </w:r>
    </w:p>
    <w:p w14:paraId="3BDF4239" w14:textId="77777777" w:rsidR="001E7A28" w:rsidRPr="00D1529E" w:rsidRDefault="001E7A28" w:rsidP="001E7A2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EFC4717" w14:textId="77777777" w:rsidR="001E7A28" w:rsidRPr="00D1529E" w:rsidRDefault="001E7A28" w:rsidP="001E7A2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F403B03" w14:textId="77777777" w:rsidR="001E7A28" w:rsidRPr="00D1529E" w:rsidRDefault="001E7A28" w:rsidP="001E7A2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D1529E">
        <w:rPr>
          <w:rFonts w:ascii="Arial" w:hAnsi="Arial" w:cs="Arial"/>
          <w:b/>
          <w:i/>
          <w:sz w:val="20"/>
          <w:szCs w:val="20"/>
        </w:rPr>
        <w:t>OBRAZLOŽENJE OPĆEG DIJELA IZVRŠENJA POLUGODIŠNJEG FINANCIJSKOG PLANA ZA 2024. GODINU</w:t>
      </w:r>
    </w:p>
    <w:p w14:paraId="4E24AD18" w14:textId="77777777" w:rsidR="001E7A28" w:rsidRPr="00D1529E" w:rsidRDefault="001E7A28" w:rsidP="001E7A28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D1529E">
        <w:rPr>
          <w:rFonts w:ascii="Arial" w:eastAsia="Calibri" w:hAnsi="Arial" w:cs="Arial"/>
          <w:bCs/>
          <w:sz w:val="20"/>
          <w:szCs w:val="20"/>
        </w:rPr>
        <w:t xml:space="preserve">Proračun se sastoji iz općeg i posebnog dijela te plana razvojnih programa kako je propisano člankom 16. Zakona o proračunu. Opći dio Proračuna čini Račun prihoda i rashoda i Račun financiranja. U Računu prihoda i rashoda planirani prihodi iskazani su po prirodnim vrstama i izvorima financiranja, a rashodi po ekonomskoj namjeni za koju služe u skladu sa Računskim planom proračuna i Pravilnikom o proračunskom računovodstvu.  U računu financiranja iskazani su primici od prihoda poslovanja   ostali primici  za financiranje nefinancijske imovine. Posebni dio Proračuna sastoji se od plana rashoda i izdataka proračunskih korisnika iskazanim po vrstama, raspoređenih u programe koji se sastoje od aktivnosti i projekata. U okviru aktivnosti i projekata rashodi i izdaci su iskazani prema ekonomskoj  i funkcijskoj klasifikaciji i izvorima financiranja sukladno Pravilniku o proračunskim klasifikacijama.          </w:t>
      </w:r>
    </w:p>
    <w:p w14:paraId="701144BD" w14:textId="77777777" w:rsidR="001E7A28" w:rsidRPr="00D1529E" w:rsidRDefault="001E7A28" w:rsidP="001E7A28">
      <w:pPr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6186EA63" w14:textId="77777777" w:rsidR="003F4EB4" w:rsidRPr="00D1529E" w:rsidRDefault="003F4EB4" w:rsidP="001E7A28">
      <w:pPr>
        <w:jc w:val="both"/>
        <w:rPr>
          <w:rFonts w:ascii="Arial" w:hAnsi="Arial" w:cs="Arial"/>
          <w:b/>
          <w:sz w:val="20"/>
          <w:szCs w:val="20"/>
        </w:rPr>
      </w:pPr>
    </w:p>
    <w:p w14:paraId="0FDACF2E" w14:textId="77777777" w:rsidR="003F4EB4" w:rsidRPr="00D1529E" w:rsidRDefault="003F4EB4" w:rsidP="001E7A28">
      <w:pPr>
        <w:jc w:val="both"/>
        <w:rPr>
          <w:rFonts w:ascii="Arial" w:hAnsi="Arial" w:cs="Arial"/>
          <w:b/>
          <w:sz w:val="20"/>
          <w:szCs w:val="20"/>
        </w:rPr>
      </w:pPr>
    </w:p>
    <w:p w14:paraId="584ACAD0" w14:textId="77777777" w:rsidR="003F4EB4" w:rsidRDefault="003F4EB4" w:rsidP="001E7A28">
      <w:pPr>
        <w:jc w:val="both"/>
        <w:rPr>
          <w:rFonts w:ascii="Arial" w:hAnsi="Arial" w:cs="Arial"/>
          <w:b/>
          <w:sz w:val="20"/>
          <w:szCs w:val="20"/>
        </w:rPr>
      </w:pPr>
    </w:p>
    <w:p w14:paraId="485362C1" w14:textId="77777777" w:rsidR="00D1529E" w:rsidRDefault="00D1529E" w:rsidP="001E7A28">
      <w:pPr>
        <w:jc w:val="both"/>
        <w:rPr>
          <w:rFonts w:ascii="Arial" w:hAnsi="Arial" w:cs="Arial"/>
          <w:b/>
          <w:sz w:val="20"/>
          <w:szCs w:val="20"/>
        </w:rPr>
      </w:pPr>
    </w:p>
    <w:p w14:paraId="4200741C" w14:textId="77777777" w:rsidR="00D1529E" w:rsidRDefault="00D1529E" w:rsidP="001E7A28">
      <w:pPr>
        <w:jc w:val="both"/>
        <w:rPr>
          <w:rFonts w:ascii="Arial" w:hAnsi="Arial" w:cs="Arial"/>
          <w:b/>
          <w:sz w:val="20"/>
          <w:szCs w:val="20"/>
        </w:rPr>
      </w:pPr>
    </w:p>
    <w:p w14:paraId="26732287" w14:textId="77777777" w:rsidR="00D1529E" w:rsidRPr="00D1529E" w:rsidRDefault="00D1529E" w:rsidP="001E7A28">
      <w:pPr>
        <w:jc w:val="both"/>
        <w:rPr>
          <w:rFonts w:ascii="Arial" w:hAnsi="Arial" w:cs="Arial"/>
          <w:b/>
          <w:sz w:val="20"/>
          <w:szCs w:val="20"/>
        </w:rPr>
      </w:pPr>
    </w:p>
    <w:p w14:paraId="2A004C0B" w14:textId="77777777" w:rsidR="001E7A28" w:rsidRPr="00D1529E" w:rsidRDefault="001E7A28" w:rsidP="001E7A28">
      <w:pPr>
        <w:jc w:val="both"/>
        <w:rPr>
          <w:rFonts w:ascii="Arial" w:hAnsi="Arial" w:cs="Arial"/>
          <w:b/>
          <w:sz w:val="20"/>
          <w:szCs w:val="20"/>
        </w:rPr>
      </w:pPr>
      <w:r w:rsidRPr="00D1529E">
        <w:rPr>
          <w:rFonts w:ascii="Arial" w:hAnsi="Arial" w:cs="Arial"/>
          <w:b/>
          <w:sz w:val="20"/>
          <w:szCs w:val="20"/>
        </w:rPr>
        <w:t>OPĆENITO O IZVRŠENJU POLGODIŠNJEG FINANCIJSKOG PLANA PRORAČUNSKOG KORISNIKA ZA 2024. GODINU</w:t>
      </w:r>
    </w:p>
    <w:p w14:paraId="687201E8" w14:textId="77777777" w:rsidR="001E7A28" w:rsidRPr="00D1529E" w:rsidRDefault="001E7A28" w:rsidP="001E7A28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8C01F28" w14:textId="77777777" w:rsidR="001E7A28" w:rsidRPr="00D1529E" w:rsidRDefault="001E7A28" w:rsidP="001E7A28">
      <w:pPr>
        <w:jc w:val="both"/>
        <w:rPr>
          <w:rFonts w:ascii="Arial" w:eastAsia="Calibri" w:hAnsi="Arial" w:cs="Arial"/>
          <w:sz w:val="20"/>
          <w:szCs w:val="20"/>
        </w:rPr>
      </w:pPr>
      <w:r w:rsidRPr="00D1529E">
        <w:rPr>
          <w:rFonts w:ascii="Arial" w:eastAsia="Calibri" w:hAnsi="Arial" w:cs="Arial"/>
          <w:b/>
          <w:sz w:val="20"/>
          <w:szCs w:val="20"/>
        </w:rPr>
        <w:t xml:space="preserve">Prihodi i primici </w:t>
      </w:r>
      <w:r w:rsidRPr="00D1529E">
        <w:rPr>
          <w:rFonts w:ascii="Arial" w:eastAsia="Calibri" w:hAnsi="Arial" w:cs="Arial"/>
          <w:sz w:val="20"/>
          <w:szCs w:val="20"/>
        </w:rPr>
        <w:t>OŠ Ivan Goran Kovačić Čepić u polugodišnjem izvršenju financijskog plana za 2024. godinu iznose 400.947,40€</w:t>
      </w:r>
      <w:r w:rsidRPr="00D1529E">
        <w:rPr>
          <w:rFonts w:ascii="Arial" w:eastAsia="Calibri" w:hAnsi="Arial" w:cs="Arial"/>
          <w:sz w:val="20"/>
          <w:szCs w:val="20"/>
        </w:rPr>
        <w:tab/>
      </w:r>
    </w:p>
    <w:p w14:paraId="7D7847B9" w14:textId="77777777" w:rsidR="001E7A28" w:rsidRPr="00D1529E" w:rsidRDefault="001E7A28" w:rsidP="001E7A28">
      <w:pPr>
        <w:jc w:val="both"/>
        <w:rPr>
          <w:rFonts w:ascii="Arial" w:eastAsia="Calibri" w:hAnsi="Arial" w:cs="Arial"/>
          <w:sz w:val="20"/>
          <w:szCs w:val="20"/>
        </w:rPr>
      </w:pPr>
    </w:p>
    <w:p w14:paraId="0A6490B4" w14:textId="77777777" w:rsidR="001E7A28" w:rsidRPr="00D1529E" w:rsidRDefault="001E7A28" w:rsidP="001E7A28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D1529E">
        <w:rPr>
          <w:rFonts w:ascii="Arial" w:hAnsi="Arial" w:cs="Arial"/>
          <w:b/>
          <w:sz w:val="20"/>
          <w:szCs w:val="20"/>
          <w:lang w:val="en-GB"/>
        </w:rPr>
        <w:t>Rashodi</w:t>
      </w:r>
      <w:proofErr w:type="spellEnd"/>
      <w:r w:rsidRPr="00D1529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D1529E"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 w:rsidRPr="00D1529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D1529E">
        <w:rPr>
          <w:rFonts w:ascii="Arial" w:hAnsi="Arial" w:cs="Arial"/>
          <w:b/>
          <w:sz w:val="20"/>
          <w:szCs w:val="20"/>
          <w:lang w:val="en-GB"/>
        </w:rPr>
        <w:t>izdaci</w:t>
      </w:r>
      <w:proofErr w:type="spellEnd"/>
      <w:r w:rsidRPr="00D1529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1529E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D1529E">
        <w:rPr>
          <w:rFonts w:ascii="Arial" w:hAnsi="Arial" w:cs="Arial"/>
          <w:sz w:val="20"/>
          <w:szCs w:val="20"/>
          <w:lang w:val="en-GB"/>
        </w:rPr>
        <w:t>polugodišnjem</w:t>
      </w:r>
      <w:proofErr w:type="spellEnd"/>
      <w:r w:rsidRPr="00D1529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529E">
        <w:rPr>
          <w:rFonts w:ascii="Arial" w:hAnsi="Arial" w:cs="Arial"/>
          <w:sz w:val="20"/>
          <w:szCs w:val="20"/>
          <w:lang w:val="en-GB"/>
        </w:rPr>
        <w:t>izvršenju</w:t>
      </w:r>
      <w:proofErr w:type="spellEnd"/>
      <w:r w:rsidRPr="00D1529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529E">
        <w:rPr>
          <w:rFonts w:ascii="Arial" w:hAnsi="Arial" w:cs="Arial"/>
          <w:sz w:val="20"/>
          <w:szCs w:val="20"/>
          <w:lang w:val="en-GB"/>
        </w:rPr>
        <w:t>financijskog</w:t>
      </w:r>
      <w:proofErr w:type="spellEnd"/>
      <w:r w:rsidRPr="00D1529E">
        <w:rPr>
          <w:rFonts w:ascii="Arial" w:hAnsi="Arial" w:cs="Arial"/>
          <w:sz w:val="20"/>
          <w:szCs w:val="20"/>
          <w:lang w:val="en-GB"/>
        </w:rPr>
        <w:t xml:space="preserve"> plana za 2024</w:t>
      </w:r>
      <w:proofErr w:type="gramStart"/>
      <w:r w:rsidRPr="00D1529E">
        <w:rPr>
          <w:rFonts w:ascii="Arial" w:hAnsi="Arial" w:cs="Arial"/>
          <w:sz w:val="20"/>
          <w:szCs w:val="20"/>
          <w:lang w:val="en-GB"/>
        </w:rPr>
        <w:t>.,za</w:t>
      </w:r>
      <w:proofErr w:type="gramEnd"/>
      <w:r w:rsidRPr="00D1529E">
        <w:rPr>
          <w:rFonts w:ascii="Arial" w:hAnsi="Arial" w:cs="Arial"/>
          <w:sz w:val="20"/>
          <w:szCs w:val="20"/>
          <w:lang w:val="en-GB"/>
        </w:rPr>
        <w:t xml:space="preserve"> OŠ </w:t>
      </w:r>
      <w:proofErr w:type="spellStart"/>
      <w:r w:rsidRPr="00D1529E">
        <w:rPr>
          <w:rFonts w:ascii="Arial" w:hAnsi="Arial" w:cs="Arial"/>
          <w:sz w:val="20"/>
          <w:szCs w:val="20"/>
          <w:lang w:val="en-GB"/>
        </w:rPr>
        <w:t>Čepić</w:t>
      </w:r>
      <w:proofErr w:type="spellEnd"/>
      <w:r w:rsidRPr="00D1529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529E">
        <w:rPr>
          <w:rFonts w:ascii="Arial" w:hAnsi="Arial" w:cs="Arial"/>
          <w:sz w:val="20"/>
          <w:szCs w:val="20"/>
          <w:lang w:val="en-GB"/>
        </w:rPr>
        <w:t>iznose</w:t>
      </w:r>
      <w:proofErr w:type="spellEnd"/>
      <w:r w:rsidRPr="00D1529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F0FECAE" w14:textId="77777777" w:rsidR="001E7A28" w:rsidRPr="00D1529E" w:rsidRDefault="001E7A28" w:rsidP="001E7A2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D1529E">
        <w:rPr>
          <w:rFonts w:ascii="Arial" w:hAnsi="Arial" w:cs="Arial"/>
          <w:sz w:val="20"/>
          <w:szCs w:val="20"/>
          <w:lang w:val="en-GB"/>
        </w:rPr>
        <w:t xml:space="preserve">397.328,00€., a </w:t>
      </w:r>
      <w:proofErr w:type="spellStart"/>
      <w:r w:rsidRPr="00D1529E">
        <w:rPr>
          <w:rFonts w:ascii="Arial" w:hAnsi="Arial" w:cs="Arial"/>
          <w:sz w:val="20"/>
          <w:szCs w:val="20"/>
          <w:lang w:val="en-GB"/>
        </w:rPr>
        <w:t>raspoređeni</w:t>
      </w:r>
      <w:proofErr w:type="spellEnd"/>
      <w:r w:rsidRPr="00D1529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1529E">
        <w:rPr>
          <w:rFonts w:ascii="Arial" w:hAnsi="Arial" w:cs="Arial"/>
          <w:sz w:val="20"/>
          <w:szCs w:val="20"/>
          <w:lang w:val="en-GB"/>
        </w:rPr>
        <w:t>su</w:t>
      </w:r>
      <w:proofErr w:type="spellEnd"/>
      <w:r w:rsidRPr="00D1529E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D1529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 w:rsidRPr="00D1529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0F7BE42" w14:textId="77777777" w:rsidR="001E7A28" w:rsidRPr="00D1529E" w:rsidRDefault="001E7A28" w:rsidP="001E7A28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- rashode poslovanja</w:t>
      </w:r>
      <w:r w:rsidRPr="00D1529E">
        <w:rPr>
          <w:rFonts w:ascii="Arial" w:hAnsi="Arial" w:cs="Arial"/>
          <w:sz w:val="20"/>
          <w:szCs w:val="20"/>
        </w:rPr>
        <w:tab/>
      </w:r>
      <w:r w:rsidR="0098061E" w:rsidRPr="00D1529E">
        <w:rPr>
          <w:rFonts w:ascii="Arial" w:hAnsi="Arial" w:cs="Arial"/>
          <w:sz w:val="20"/>
          <w:szCs w:val="20"/>
        </w:rPr>
        <w:t>397.301,00 €</w:t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  <w:t xml:space="preserve">             </w:t>
      </w:r>
    </w:p>
    <w:p w14:paraId="2B4AA4CC" w14:textId="77777777" w:rsidR="001E7A28" w:rsidRPr="00D1529E" w:rsidRDefault="001E7A28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- rashode za na</w:t>
      </w:r>
      <w:r w:rsidR="0098061E" w:rsidRPr="00D1529E">
        <w:rPr>
          <w:rFonts w:ascii="Arial" w:hAnsi="Arial" w:cs="Arial"/>
          <w:sz w:val="20"/>
          <w:szCs w:val="20"/>
        </w:rPr>
        <w:t>bavu nefinancijske imovine 26,95€</w:t>
      </w:r>
    </w:p>
    <w:p w14:paraId="69A0F023" w14:textId="77777777" w:rsidR="00E02ED9" w:rsidRPr="00D1529E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E295A3C" w14:textId="77777777" w:rsidR="0098061E" w:rsidRPr="00D1529E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 xml:space="preserve">Višak </w:t>
      </w:r>
      <w:r w:rsidR="0098061E" w:rsidRPr="00D1529E">
        <w:rPr>
          <w:rFonts w:ascii="Arial" w:hAnsi="Arial" w:cs="Arial"/>
          <w:sz w:val="20"/>
          <w:szCs w:val="20"/>
        </w:rPr>
        <w:t xml:space="preserve">prihoda poslovanja na dan 30.06.2024. iznosi </w:t>
      </w:r>
      <w:r w:rsidRPr="00D1529E">
        <w:rPr>
          <w:rFonts w:ascii="Arial" w:hAnsi="Arial" w:cs="Arial"/>
          <w:sz w:val="20"/>
          <w:szCs w:val="20"/>
        </w:rPr>
        <w:t>3.619,40.€</w:t>
      </w:r>
    </w:p>
    <w:p w14:paraId="7377A2BC" w14:textId="77777777" w:rsidR="00E02ED9" w:rsidRPr="00D1529E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FAAF890" w14:textId="77777777" w:rsidR="00E02ED9" w:rsidRPr="00D1529E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D0E864D" w14:textId="77777777" w:rsidR="00E02ED9" w:rsidRPr="00D1529E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1431794" w14:textId="77777777" w:rsidR="00E02ED9" w:rsidRPr="00D1529E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5EC8046" w14:textId="77777777" w:rsidR="00E02ED9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D01F2C5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CB3447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4A150ED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AA525D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269174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2A6D68C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58196AB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7E07D9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FFCE9E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8A68BD9" w14:textId="77777777" w:rsid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4FAE77" w14:textId="77777777" w:rsidR="00D1529E" w:rsidRPr="00D1529E" w:rsidRDefault="00D1529E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3E4F2A2" w14:textId="77777777" w:rsidR="00E02ED9" w:rsidRPr="00D1529E" w:rsidRDefault="00E02ED9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13CFDCE" w14:textId="77777777" w:rsidR="001E7A28" w:rsidRPr="00D1529E" w:rsidRDefault="001E7A28" w:rsidP="001E7A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BE19038" w14:textId="77777777" w:rsidR="00E02ED9" w:rsidRPr="00D1529E" w:rsidRDefault="00E02ED9" w:rsidP="00E02ED9">
      <w:pPr>
        <w:spacing w:line="276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D1529E">
        <w:rPr>
          <w:rFonts w:ascii="Arial" w:eastAsia="Calibri" w:hAnsi="Arial" w:cs="Arial"/>
          <w:bCs/>
          <w:i/>
          <w:sz w:val="20"/>
          <w:szCs w:val="20"/>
        </w:rPr>
        <w:t>Sažetak 2024.g.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</w:tblGrid>
      <w:tr w:rsidR="00E02ED9" w:rsidRPr="00D1529E" w14:paraId="0751E2F7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79A7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u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D62F" w14:textId="77777777" w:rsidR="00E02ED9" w:rsidRPr="00D1529E" w:rsidRDefault="00E02ED9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Izvršenje</w:t>
            </w:r>
            <w:proofErr w:type="spellEnd"/>
          </w:p>
          <w:p w14:paraId="25068CBD" w14:textId="77777777" w:rsidR="00E02ED9" w:rsidRPr="00D1529E" w:rsidRDefault="00E02ED9">
            <w:pPr>
              <w:spacing w:after="16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01.01.-30.6.2024.</w:t>
            </w:r>
          </w:p>
        </w:tc>
      </w:tr>
      <w:tr w:rsidR="00E02ED9" w:rsidRPr="00D1529E" w14:paraId="1E927084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C8F6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Prihodi</w:t>
            </w:r>
            <w:proofErr w:type="spellEnd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7E27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400.947,40</w:t>
            </w:r>
          </w:p>
        </w:tc>
      </w:tr>
      <w:tr w:rsidR="00E02ED9" w:rsidRPr="00D1529E" w14:paraId="14A1CF71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354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Prihodi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E360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bCs/>
                <w:sz w:val="20"/>
                <w:szCs w:val="20"/>
                <w:lang w:val="en-US"/>
              </w:rPr>
              <w:t>400.947,40</w:t>
            </w:r>
          </w:p>
        </w:tc>
      </w:tr>
      <w:tr w:rsidR="00E02ED9" w:rsidRPr="00D1529E" w14:paraId="78240B16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D561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Prihodi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od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prodaje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nefinancijske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imovina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ADF8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0,00</w:t>
            </w:r>
          </w:p>
        </w:tc>
      </w:tr>
      <w:tr w:rsidR="00E02ED9" w:rsidRPr="00D1529E" w14:paraId="5E628AEF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3EE9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Rashodi</w:t>
            </w:r>
            <w:proofErr w:type="spellEnd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241E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397.328,00</w:t>
            </w:r>
          </w:p>
        </w:tc>
      </w:tr>
      <w:tr w:rsidR="00E02ED9" w:rsidRPr="00D1529E" w14:paraId="1C8318CA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CC5E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Rashodi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E7F3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397.301,05</w:t>
            </w:r>
          </w:p>
        </w:tc>
      </w:tr>
      <w:tr w:rsidR="00E02ED9" w:rsidRPr="00D1529E" w14:paraId="48713AD6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A1B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Rashodi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nabavu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nefinancijske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6E02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26,95</w:t>
            </w:r>
          </w:p>
        </w:tc>
      </w:tr>
      <w:tr w:rsidR="00E02ED9" w:rsidRPr="00D1529E" w14:paraId="18EC0E3E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042D" w14:textId="77777777" w:rsidR="00E02ED9" w:rsidRPr="00D1529E" w:rsidRDefault="00E02ED9">
            <w:pPr>
              <w:spacing w:after="160" w:line="276" w:lineRule="auto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Razlika</w:t>
            </w:r>
            <w:proofErr w:type="spellEnd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višak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6B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  <w:t>3.619,40</w:t>
            </w:r>
          </w:p>
        </w:tc>
      </w:tr>
      <w:tr w:rsidR="00E02ED9" w:rsidRPr="00D1529E" w14:paraId="0E8F23B7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295B" w14:textId="77777777" w:rsidR="00E02ED9" w:rsidRPr="00D1529E" w:rsidRDefault="00E02ED9" w:rsidP="00EA3DC1">
            <w:pPr>
              <w:spacing w:after="160" w:line="276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Ukupan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donos</w:t>
            </w:r>
            <w:proofErr w:type="spellEnd"/>
            <w:r w:rsidR="00EA3DC1"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DC1" w:rsidRPr="00D1529E">
              <w:rPr>
                <w:rFonts w:ascii="Arial" w:hAnsi="Arial" w:cs="Arial"/>
                <w:sz w:val="20"/>
                <w:szCs w:val="20"/>
                <w:lang w:val="en-US"/>
              </w:rPr>
              <w:t>viška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prethodne</w:t>
            </w:r>
            <w:proofErr w:type="spellEnd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sz w:val="20"/>
                <w:szCs w:val="20"/>
                <w:lang w:val="en-US"/>
              </w:rPr>
              <w:t>godine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0D1" w14:textId="77777777" w:rsidR="00E02ED9" w:rsidRPr="00D1529E" w:rsidRDefault="00E02ED9">
            <w:pPr>
              <w:spacing w:after="160" w:line="276" w:lineRule="auto"/>
              <w:jc w:val="right"/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  <w:t>5.883,88</w:t>
            </w:r>
          </w:p>
        </w:tc>
      </w:tr>
      <w:tr w:rsidR="00E02ED9" w:rsidRPr="00D1529E" w14:paraId="58F86DA3" w14:textId="77777777" w:rsidTr="00E02ED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E965" w14:textId="77777777" w:rsidR="00E02ED9" w:rsidRPr="00D1529E" w:rsidRDefault="00EA3DC1">
            <w:pPr>
              <w:spacing w:after="160" w:line="276" w:lineRule="auto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Višak</w:t>
            </w:r>
            <w:proofErr w:type="spellEnd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raspoloživ</w:t>
            </w:r>
            <w:proofErr w:type="spellEnd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slijedećem</w:t>
            </w:r>
            <w:proofErr w:type="spellEnd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7DDE" w14:textId="77777777" w:rsidR="00E02ED9" w:rsidRPr="00D1529E" w:rsidRDefault="00EA3DC1">
            <w:pPr>
              <w:spacing w:after="160" w:line="276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  <w:t>2.264,48</w:t>
            </w:r>
          </w:p>
        </w:tc>
      </w:tr>
    </w:tbl>
    <w:p w14:paraId="4D92E4B3" w14:textId="77777777" w:rsidR="00EA3DC1" w:rsidRDefault="00EA3DC1" w:rsidP="00EA3DC1">
      <w:pPr>
        <w:jc w:val="both"/>
        <w:rPr>
          <w:rFonts w:ascii="Arial" w:hAnsi="Arial" w:cs="Arial"/>
          <w:sz w:val="20"/>
          <w:szCs w:val="20"/>
        </w:rPr>
      </w:pPr>
    </w:p>
    <w:p w14:paraId="175C82BE" w14:textId="77777777" w:rsidR="00D1529E" w:rsidRDefault="00D1529E" w:rsidP="00EA3DC1">
      <w:pPr>
        <w:jc w:val="both"/>
        <w:rPr>
          <w:rFonts w:ascii="Arial" w:hAnsi="Arial" w:cs="Arial"/>
          <w:sz w:val="20"/>
          <w:szCs w:val="20"/>
        </w:rPr>
      </w:pPr>
    </w:p>
    <w:p w14:paraId="53107316" w14:textId="77777777" w:rsidR="00D1529E" w:rsidRPr="00D1529E" w:rsidRDefault="00D1529E" w:rsidP="00EA3DC1">
      <w:pPr>
        <w:jc w:val="both"/>
        <w:rPr>
          <w:rFonts w:ascii="Arial" w:hAnsi="Arial" w:cs="Arial"/>
          <w:sz w:val="20"/>
          <w:szCs w:val="20"/>
        </w:rPr>
      </w:pPr>
    </w:p>
    <w:p w14:paraId="391BF872" w14:textId="77777777" w:rsidR="00EA3DC1" w:rsidRPr="00D1529E" w:rsidRDefault="00EA3DC1" w:rsidP="00EA3DC1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 xml:space="preserve">Izvori financiranja za realizaciju redovne djelatnosti škole u 2024. godini činila su sredstva iz državnog proračuna (pomoći ministarstva nadležnog za obrazovanje i drugih ministarstava), decentralizirana i namjenska sredstva Istarske županije, vlastiti prihodi, donacije, sredstva – pomoći Općine Kršan i prihodi po posebnim propisima (sufinanciranje usluga, ostali namjenski prihodi). </w:t>
      </w:r>
    </w:p>
    <w:p w14:paraId="01170502" w14:textId="77777777" w:rsidR="00000000" w:rsidRPr="00D1529E" w:rsidRDefault="00EA3DC1" w:rsidP="00EA3DC1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Prihodima Ministarstva znanosti i obrazovanja financiraju se rashodi za zaposlene i ostala materijalna prava za zaposlene, nabava udžbenika za učenike i financiranje prehrane. Od siječnja 2023. godine Ministarstvo osigurava besplatnu prehranu (marendu) za sve učenike.</w:t>
      </w:r>
    </w:p>
    <w:p w14:paraId="6B27DE2A" w14:textId="77777777" w:rsidR="00EA3DC1" w:rsidRPr="00D1529E" w:rsidRDefault="00EA3DC1" w:rsidP="00EA3DC1">
      <w:pPr>
        <w:jc w:val="both"/>
        <w:rPr>
          <w:rFonts w:ascii="Arial" w:hAnsi="Arial" w:cs="Arial"/>
          <w:sz w:val="20"/>
          <w:szCs w:val="20"/>
        </w:rPr>
      </w:pPr>
    </w:p>
    <w:p w14:paraId="7382D330" w14:textId="77777777" w:rsidR="00D1529E" w:rsidRPr="00D1529E" w:rsidRDefault="00EA3DC1" w:rsidP="00EA3DC1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Pomoći od inozemstva i od subjekata unutar općeg proračuna  (skupina 63) su u razdoblju od 1.1.2024.-30.06.2024.  ostvareni u iznosu od 345.209,65 eura.  Izvor financiranja su sredstva Europske unije (izvor 51)</w:t>
      </w:r>
      <w:r w:rsidR="002D7641" w:rsidRPr="00D1529E">
        <w:rPr>
          <w:rFonts w:ascii="Arial" w:hAnsi="Arial" w:cs="Arial"/>
          <w:sz w:val="20"/>
          <w:szCs w:val="20"/>
        </w:rPr>
        <w:t xml:space="preserve">, Ministarstva (53) i </w:t>
      </w:r>
      <w:r w:rsidRPr="00D1529E">
        <w:rPr>
          <w:rFonts w:ascii="Arial" w:hAnsi="Arial" w:cs="Arial"/>
          <w:sz w:val="20"/>
          <w:szCs w:val="20"/>
        </w:rPr>
        <w:t>O</w:t>
      </w:r>
      <w:r w:rsidR="002D7641" w:rsidRPr="00D1529E">
        <w:rPr>
          <w:rFonts w:ascii="Arial" w:hAnsi="Arial" w:cs="Arial"/>
          <w:sz w:val="20"/>
          <w:szCs w:val="20"/>
        </w:rPr>
        <w:t xml:space="preserve">pćine za proračunske korisnike </w:t>
      </w:r>
      <w:r w:rsidRPr="00D1529E">
        <w:rPr>
          <w:rFonts w:ascii="Arial" w:hAnsi="Arial" w:cs="Arial"/>
          <w:sz w:val="20"/>
          <w:szCs w:val="20"/>
        </w:rPr>
        <w:t xml:space="preserve">(55). </w:t>
      </w:r>
      <w:r w:rsidR="00D1529E" w:rsidRPr="00D1529E">
        <w:rPr>
          <w:rFonts w:ascii="Arial" w:eastAsia="Calibri" w:hAnsi="Arial" w:cs="Arial"/>
          <w:bCs/>
          <w:sz w:val="20"/>
          <w:szCs w:val="20"/>
        </w:rPr>
        <w:t xml:space="preserve">Pomoćima Općine Kršan </w:t>
      </w:r>
      <w:r w:rsidRPr="00D1529E">
        <w:rPr>
          <w:rFonts w:ascii="Arial" w:eastAsia="Calibri" w:hAnsi="Arial" w:cs="Arial"/>
          <w:bCs/>
          <w:sz w:val="20"/>
          <w:szCs w:val="20"/>
        </w:rPr>
        <w:t>financiraju se plaće učitelja u produženom boravku</w:t>
      </w:r>
      <w:r w:rsidR="00D1529E" w:rsidRPr="00D1529E">
        <w:rPr>
          <w:rFonts w:ascii="Arial" w:eastAsia="Calibri" w:hAnsi="Arial" w:cs="Arial"/>
          <w:bCs/>
          <w:sz w:val="20"/>
          <w:szCs w:val="20"/>
        </w:rPr>
        <w:t>.</w:t>
      </w:r>
    </w:p>
    <w:p w14:paraId="7CECCD66" w14:textId="77777777" w:rsidR="00EA3DC1" w:rsidRPr="00D1529E" w:rsidRDefault="00EA3DC1" w:rsidP="00EA3DC1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D1529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390B0BA" w14:textId="77777777" w:rsidR="00EA3DC1" w:rsidRPr="00D1529E" w:rsidRDefault="00EA3DC1" w:rsidP="00EA3DC1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eastAsia="Calibri" w:hAnsi="Arial" w:cs="Arial"/>
          <w:bCs/>
          <w:sz w:val="20"/>
          <w:szCs w:val="20"/>
        </w:rPr>
        <w:t xml:space="preserve">Prihodima decentraliziranih i namjenskih sredstava Istarske županije financiraju se redovna djelatnost – minimalni standard, materijalni rashodi po stvarnom trošku, materijalni troškovi iznad standarda (prijevoz učenika, energenti, zdravstveni pregledi, premije osiguranja imovine i zaposlenih, projekt Zavičajna nastava, financiranje školskog psihologa, održavanje školske zgrade, županijska natjecanja). </w:t>
      </w:r>
      <w:r w:rsidRPr="00D1529E">
        <w:rPr>
          <w:rFonts w:ascii="Arial" w:hAnsi="Arial" w:cs="Arial"/>
          <w:sz w:val="20"/>
          <w:szCs w:val="20"/>
        </w:rPr>
        <w:t>Prihodi iz proračuna Istarske županije (skupina 67) odnose se na opće prihode i primitke (izvor 11) i na decentralizirana sredstva (izvor 48). Ukupno su ostvareni prihodi u iznosu od 43.568,97 eura.</w:t>
      </w:r>
    </w:p>
    <w:p w14:paraId="00D88DFD" w14:textId="77777777" w:rsidR="00EA3DC1" w:rsidRPr="00D1529E" w:rsidRDefault="00EA3DC1" w:rsidP="00EA3DC1">
      <w:pPr>
        <w:jc w:val="both"/>
        <w:rPr>
          <w:rFonts w:ascii="Arial" w:hAnsi="Arial" w:cs="Arial"/>
          <w:sz w:val="20"/>
          <w:szCs w:val="20"/>
        </w:rPr>
      </w:pPr>
    </w:p>
    <w:p w14:paraId="0ECBE227" w14:textId="77777777" w:rsidR="00EA3DC1" w:rsidRPr="00D1529E" w:rsidRDefault="00EA3DC1" w:rsidP="00EA3DC1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Na dan 01. siječnja 2024 godine stanje novčanih</w:t>
      </w:r>
      <w:r w:rsidR="002D7641" w:rsidRPr="00D1529E">
        <w:rPr>
          <w:rFonts w:ascii="Arial" w:hAnsi="Arial" w:cs="Arial"/>
          <w:sz w:val="20"/>
          <w:szCs w:val="20"/>
        </w:rPr>
        <w:t xml:space="preserve"> sredstava iznosilo je 17.943,70</w:t>
      </w:r>
      <w:r w:rsidRPr="00D1529E">
        <w:rPr>
          <w:rFonts w:ascii="Arial" w:hAnsi="Arial" w:cs="Arial"/>
          <w:sz w:val="20"/>
          <w:szCs w:val="20"/>
        </w:rPr>
        <w:t xml:space="preserve"> eura, dok je na da</w:t>
      </w:r>
      <w:r w:rsidR="002D7641" w:rsidRPr="00D1529E">
        <w:rPr>
          <w:rFonts w:ascii="Arial" w:hAnsi="Arial" w:cs="Arial"/>
          <w:sz w:val="20"/>
          <w:szCs w:val="20"/>
        </w:rPr>
        <w:t>n 30.06.2024. iznosilo 8.832,14</w:t>
      </w:r>
      <w:r w:rsidRPr="00D1529E">
        <w:rPr>
          <w:rFonts w:ascii="Arial" w:hAnsi="Arial" w:cs="Arial"/>
          <w:sz w:val="20"/>
          <w:szCs w:val="20"/>
        </w:rPr>
        <w:t xml:space="preserve"> eura. Računi su podmireni prema dospjelosti, osim računa za prijevoz učenika koji je podmiren 2.07. nakon uplate sredstava od osnivača.</w:t>
      </w:r>
    </w:p>
    <w:p w14:paraId="3EAFB156" w14:textId="77777777" w:rsidR="00EA3DC1" w:rsidRPr="00D1529E" w:rsidRDefault="00EA3DC1" w:rsidP="00EA3DC1">
      <w:pPr>
        <w:jc w:val="both"/>
        <w:rPr>
          <w:rFonts w:ascii="Arial" w:hAnsi="Arial" w:cs="Arial"/>
          <w:sz w:val="20"/>
          <w:szCs w:val="20"/>
        </w:rPr>
      </w:pPr>
    </w:p>
    <w:p w14:paraId="7532F3F0" w14:textId="77777777" w:rsidR="00186B55" w:rsidRPr="00D1529E" w:rsidRDefault="00186B55" w:rsidP="00EA3DC1">
      <w:pPr>
        <w:jc w:val="both"/>
        <w:rPr>
          <w:rFonts w:ascii="Arial" w:hAnsi="Arial" w:cs="Arial"/>
          <w:sz w:val="20"/>
          <w:szCs w:val="20"/>
        </w:rPr>
      </w:pPr>
    </w:p>
    <w:p w14:paraId="3EC52F7B" w14:textId="77777777" w:rsidR="00186B55" w:rsidRPr="00D1529E" w:rsidRDefault="00186B55" w:rsidP="00EA3DC1">
      <w:pPr>
        <w:jc w:val="both"/>
        <w:rPr>
          <w:rFonts w:ascii="Arial" w:hAnsi="Arial" w:cs="Arial"/>
          <w:sz w:val="20"/>
          <w:szCs w:val="20"/>
        </w:rPr>
      </w:pPr>
    </w:p>
    <w:p w14:paraId="2DBB4DBD" w14:textId="77777777" w:rsidR="00186B55" w:rsidRPr="00D1529E" w:rsidRDefault="00186B55" w:rsidP="00EA3DC1">
      <w:pPr>
        <w:jc w:val="both"/>
        <w:rPr>
          <w:rFonts w:ascii="Arial" w:hAnsi="Arial" w:cs="Arial"/>
          <w:sz w:val="20"/>
          <w:szCs w:val="20"/>
        </w:rPr>
      </w:pPr>
    </w:p>
    <w:p w14:paraId="05A20D27" w14:textId="77777777" w:rsidR="00186B55" w:rsidRDefault="00186B55" w:rsidP="00186B55">
      <w:pPr>
        <w:jc w:val="both"/>
        <w:rPr>
          <w:rFonts w:ascii="Arial" w:hAnsi="Arial" w:cs="Arial"/>
          <w:sz w:val="20"/>
          <w:szCs w:val="20"/>
        </w:rPr>
      </w:pPr>
    </w:p>
    <w:p w14:paraId="34DF3B34" w14:textId="77777777" w:rsidR="00D1529E" w:rsidRDefault="00D1529E" w:rsidP="00186B55">
      <w:pPr>
        <w:jc w:val="both"/>
        <w:rPr>
          <w:rFonts w:ascii="Arial" w:hAnsi="Arial" w:cs="Arial"/>
          <w:sz w:val="20"/>
          <w:szCs w:val="20"/>
        </w:rPr>
      </w:pPr>
    </w:p>
    <w:p w14:paraId="72EF0FE8" w14:textId="77777777" w:rsidR="00D1529E" w:rsidRPr="00D1529E" w:rsidRDefault="00D1529E" w:rsidP="00186B55">
      <w:pPr>
        <w:jc w:val="both"/>
        <w:rPr>
          <w:rFonts w:ascii="Arial" w:hAnsi="Arial" w:cs="Arial"/>
          <w:sz w:val="20"/>
          <w:szCs w:val="20"/>
        </w:rPr>
      </w:pPr>
    </w:p>
    <w:p w14:paraId="58422533" w14:textId="77777777" w:rsidR="00D1529E" w:rsidRPr="00D1529E" w:rsidRDefault="00D1529E" w:rsidP="00186B55">
      <w:pPr>
        <w:jc w:val="both"/>
        <w:rPr>
          <w:rFonts w:ascii="Arial" w:hAnsi="Arial" w:cs="Arial"/>
          <w:sz w:val="20"/>
          <w:szCs w:val="20"/>
        </w:rPr>
      </w:pPr>
    </w:p>
    <w:p w14:paraId="7C9A0159" w14:textId="77777777" w:rsidR="00186B55" w:rsidRPr="00B47DD4" w:rsidRDefault="00186B55" w:rsidP="00B47DD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47DD4">
        <w:rPr>
          <w:rFonts w:ascii="Arial" w:hAnsi="Arial" w:cs="Arial"/>
          <w:b/>
          <w:bCs/>
          <w:sz w:val="20"/>
          <w:szCs w:val="20"/>
        </w:rPr>
        <w:lastRenderedPageBreak/>
        <w:t xml:space="preserve">OBRAZLOŽENJE POSEBNOG DIJELA </w:t>
      </w:r>
    </w:p>
    <w:p w14:paraId="3B329BC8" w14:textId="77777777" w:rsidR="00186B55" w:rsidRPr="00D1529E" w:rsidRDefault="00186B55" w:rsidP="00186B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8F2997" w14:textId="77777777" w:rsidR="00186B55" w:rsidRDefault="00186B55" w:rsidP="00186B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U nastavku se opisuju ostvareni programi, aktivnosti i projekti škole, zajedno s pripadajućim ciljevima i pokazateljima uspješnosti. Ciljevi su usklađeni sa strateškim dokumentom Provedbeni program Istarske županije 2022.-2025.</w:t>
      </w:r>
    </w:p>
    <w:p w14:paraId="523B48D7" w14:textId="77777777" w:rsidR="00B47DD4" w:rsidRPr="00D1529E" w:rsidRDefault="00B47DD4" w:rsidP="00186B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6648C8" w14:textId="77777777" w:rsidR="00186B55" w:rsidRPr="00D1529E" w:rsidRDefault="00186B55" w:rsidP="00186B55">
      <w:pPr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529E">
        <w:rPr>
          <w:rFonts w:ascii="Arial" w:hAnsi="Arial" w:cs="Arial"/>
          <w:b/>
          <w:bCs/>
          <w:sz w:val="20"/>
          <w:szCs w:val="20"/>
        </w:rPr>
        <w:t>PROGRAM 2101: REDOVNA DJELATNOST OSNOVNIH ŠKOLA – MINIMALNI STANDARD</w:t>
      </w:r>
    </w:p>
    <w:p w14:paraId="3A02F0FB" w14:textId="77777777" w:rsidR="00186B55" w:rsidRPr="00D1529E" w:rsidRDefault="00186B55" w:rsidP="00186B55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AKTIVNOST A210101: MATERIJALNI RASHODI OŠ PO KRITERIJIMA</w:t>
      </w:r>
    </w:p>
    <w:p w14:paraId="1DE39C3C" w14:textId="77777777" w:rsidR="00186B55" w:rsidRPr="00D1529E" w:rsidRDefault="00186B55" w:rsidP="00186B55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Redovna djelatnost škola financirana je iz decentraliziranih sredstava IŽ iz koje se financiraju materijalni i financijski rashodi, rashodi za materijal i dijelove za tekuće i investicijsko održavanje, usluge tekućeg i investicijskog održavanja. Izračun mjesečne dotacije provodi se na temelju izračuna po broju učenika (5,04 eura po učeniku), po broju razrednih odjela (39,82 eura po odjelu) i za ustanovu (265,45 eura po građevini). Sredstva se troše namjenski i to samo za financiranje materijalnih i financijskih rashoda (prema ekonomskoj klasifikaciji) nužnih za realizaciju nastavnog plana i programa.</w:t>
      </w:r>
    </w:p>
    <w:p w14:paraId="3FED757A" w14:textId="77777777" w:rsidR="00797244" w:rsidRPr="00D1529E" w:rsidRDefault="00797244" w:rsidP="00186B55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3C08E55" w14:textId="77777777" w:rsidR="00186B55" w:rsidRPr="00D1529E" w:rsidRDefault="00186B55" w:rsidP="00186B55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 xml:space="preserve">AKTIVNOST A210102 MATERIJALNI RASHODI OŠ PO STVARNOM TROŠKU </w:t>
      </w:r>
    </w:p>
    <w:p w14:paraId="5D211184" w14:textId="77777777" w:rsidR="00186B55" w:rsidRPr="00D1529E" w:rsidRDefault="00186B55" w:rsidP="00186B55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529E">
        <w:rPr>
          <w:rFonts w:ascii="Arial" w:hAnsi="Arial" w:cs="Arial"/>
          <w:color w:val="000000" w:themeColor="text1"/>
          <w:sz w:val="20"/>
          <w:szCs w:val="20"/>
        </w:rPr>
        <w:t>U ovoj aktivnosti planirani su materijalni rashodi škole po stvarnom trošku, a odnose se na zdravstvene preglede djelatnika. Troškovi se podmiruju iz decentraliziranih sredstava IŽ.</w:t>
      </w:r>
    </w:p>
    <w:p w14:paraId="58A9EF76" w14:textId="77777777" w:rsidR="00797244" w:rsidRPr="00D1529E" w:rsidRDefault="00797244" w:rsidP="00186B55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A545B09" w14:textId="77777777" w:rsidR="00186B55" w:rsidRPr="00D1529E" w:rsidRDefault="00186B55" w:rsidP="00186B55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 xml:space="preserve">AKTIVNOST A210103 MATERIJALNI RASHODI OŠ PO STVARNOM TROŠKU </w:t>
      </w:r>
      <w:r w:rsidRPr="00D1529E">
        <w:rPr>
          <w:rFonts w:ascii="Arial" w:hAnsi="Arial" w:cs="Arial"/>
          <w:color w:val="000000" w:themeColor="text1"/>
          <w:sz w:val="20"/>
          <w:szCs w:val="20"/>
        </w:rPr>
        <w:t>- DRUGI IZVORI</w:t>
      </w:r>
    </w:p>
    <w:p w14:paraId="61352197" w14:textId="77777777" w:rsidR="00186B55" w:rsidRPr="00D1529E" w:rsidRDefault="00186B55" w:rsidP="00186B55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529E">
        <w:rPr>
          <w:rFonts w:ascii="Arial" w:hAnsi="Arial" w:cs="Arial"/>
          <w:color w:val="000000" w:themeColor="text1"/>
          <w:sz w:val="20"/>
          <w:szCs w:val="20"/>
        </w:rPr>
        <w:t>Ovom aktivnošću obuhvaćeno je financiranje dijela troškova za energente i ostalih materijalnih troškova iz vlastitih prihoda škole.</w:t>
      </w:r>
    </w:p>
    <w:p w14:paraId="4E5675F8" w14:textId="77777777" w:rsidR="00797244" w:rsidRPr="00D1529E" w:rsidRDefault="00797244" w:rsidP="00186B55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5F89C4F" w14:textId="77777777" w:rsidR="00186B55" w:rsidRPr="00D1529E" w:rsidRDefault="00186B55" w:rsidP="00186B55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AKTIVNOST A210104 PLAĆE I DRUGI RASHODI ZA ZAPOSLENE OŠ</w:t>
      </w:r>
    </w:p>
    <w:p w14:paraId="0D916E26" w14:textId="77777777" w:rsidR="00186B55" w:rsidRPr="00D1529E" w:rsidRDefault="00186B55" w:rsidP="00186B5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Aktivnost se odnosi na troškove plaća, ostale rashodi za zaposlene (prigodne nagrade i pomoći), doprinose iz i na plaću, naknade za prijevoz, rad na terenu i odvojeni život, a podmiruju se iz državnog proračuna, odnosno nadležnog ministarstva za obrazovanje.</w:t>
      </w:r>
    </w:p>
    <w:p w14:paraId="1F3B6D6A" w14:textId="77777777" w:rsidR="00186B55" w:rsidRPr="00D1529E" w:rsidRDefault="00186B55" w:rsidP="00186B55">
      <w:pPr>
        <w:jc w:val="both"/>
        <w:rPr>
          <w:rFonts w:ascii="Arial" w:hAnsi="Arial" w:cs="Arial"/>
          <w:sz w:val="20"/>
          <w:szCs w:val="20"/>
        </w:rPr>
      </w:pPr>
    </w:p>
    <w:p w14:paraId="45E14B88" w14:textId="77777777" w:rsidR="00186B55" w:rsidRPr="00D1529E" w:rsidRDefault="00186B55" w:rsidP="00186B5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CILJ USPJEŠNOSTI (mjere iz Provedbenog programa IŽ 2022-2025)</w:t>
      </w:r>
    </w:p>
    <w:p w14:paraId="6F1B79F1" w14:textId="77777777" w:rsidR="00186B55" w:rsidRPr="00D1529E" w:rsidRDefault="00186B55" w:rsidP="00186B5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 xml:space="preserve">2.1.2. Osiguranje i poboljšanje dostupnosti obrazovanja djeci i roditeljima/starateljima – za aktivnosti A210101, A210102, A210103 </w:t>
      </w:r>
    </w:p>
    <w:p w14:paraId="0C221514" w14:textId="77777777" w:rsidR="00186B55" w:rsidRPr="00D1529E" w:rsidRDefault="00186B55" w:rsidP="00186B5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2.1.8.  Osiguranje kvalitetnog odgojno obrazovnog kadra i suradnje ključnih aktera – za aktivnost A210104</w:t>
      </w:r>
    </w:p>
    <w:p w14:paraId="128F63EE" w14:textId="77777777" w:rsidR="00797244" w:rsidRPr="00D1529E" w:rsidRDefault="00797244" w:rsidP="00186B5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21F955C3" w14:textId="77777777" w:rsidR="00797244" w:rsidRPr="00D1529E" w:rsidRDefault="0079724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Ciljevi su ostvareni.</w:t>
      </w:r>
    </w:p>
    <w:p w14:paraId="755BEB6F" w14:textId="77777777" w:rsidR="003F4EB4" w:rsidRPr="00D1529E" w:rsidRDefault="003F4EB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63FA1B" w14:textId="77777777" w:rsidR="003F4EB4" w:rsidRPr="00D1529E" w:rsidRDefault="003F4EB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7ED685" w14:textId="77777777" w:rsidR="003F4EB4" w:rsidRPr="00D1529E" w:rsidRDefault="003F4EB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F877B3" w14:textId="77777777" w:rsidR="00797244" w:rsidRPr="00D1529E" w:rsidRDefault="0079724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POKAZATELJ USPJEŠNOSTI</w:t>
      </w:r>
    </w:p>
    <w:p w14:paraId="3314B72A" w14:textId="77777777" w:rsidR="00797244" w:rsidRPr="00D1529E" w:rsidRDefault="0079724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za mjeru 2.1.2.</w:t>
      </w:r>
    </w:p>
    <w:tbl>
      <w:tblPr>
        <w:tblW w:w="4338" w:type="pct"/>
        <w:tblLook w:val="04A0" w:firstRow="1" w:lastRow="0" w:firstColumn="1" w:lastColumn="0" w:noHBand="0" w:noVBand="1"/>
      </w:tblPr>
      <w:tblGrid>
        <w:gridCol w:w="2498"/>
        <w:gridCol w:w="1562"/>
        <w:gridCol w:w="1306"/>
        <w:gridCol w:w="943"/>
        <w:gridCol w:w="1562"/>
      </w:tblGrid>
      <w:tr w:rsidR="00797244" w:rsidRPr="00D1529E" w14:paraId="253BC458" w14:textId="77777777" w:rsidTr="00797244">
        <w:trPr>
          <w:trHeight w:val="3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C39562" w14:textId="77777777" w:rsidR="00797244" w:rsidRPr="00D1529E" w:rsidRDefault="0079724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pokazatelj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rezultata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46A340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početna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18F23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ciljna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2024.</w:t>
            </w:r>
          </w:p>
        </w:tc>
        <w:tc>
          <w:tcPr>
            <w:tcW w:w="1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0D1718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OSTVARENO 1-6/2024</w:t>
            </w:r>
          </w:p>
        </w:tc>
      </w:tr>
      <w:tr w:rsidR="00797244" w:rsidRPr="00D1529E" w14:paraId="6A16417B" w14:textId="77777777" w:rsidTr="00797244">
        <w:trPr>
          <w:trHeight w:val="3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82888" w14:textId="77777777" w:rsidR="00797244" w:rsidRPr="00D1529E" w:rsidRDefault="00797244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Pokrivanje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materijalnih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potrebnih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nesmetano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odvijanje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nastavnog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procesa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67A499" w14:textId="77777777" w:rsidR="00797244" w:rsidRPr="00D1529E" w:rsidRDefault="00797244">
            <w:pPr>
              <w:spacing w:after="160"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13.582,44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eura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226E74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kontinuirano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F43A85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5ED1C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8.559,93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eura</w:t>
            </w:r>
            <w:proofErr w:type="spellEnd"/>
          </w:p>
        </w:tc>
      </w:tr>
      <w:tr w:rsidR="00797244" w:rsidRPr="00D1529E" w14:paraId="266A338C" w14:textId="77777777" w:rsidTr="00797244">
        <w:trPr>
          <w:trHeight w:val="340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DB04B1" w14:textId="77777777" w:rsidR="00797244" w:rsidRPr="00D1529E" w:rsidRDefault="00797244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Pokrivanje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prijevoza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učenika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zdravstvenih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pregleda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radnika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4FE18D" w14:textId="77777777" w:rsidR="00797244" w:rsidRPr="00D1529E" w:rsidRDefault="007E5C4A">
            <w:pPr>
              <w:spacing w:after="160"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16.795,51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CC3C0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kontinuirano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3E7B4F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D6862" w14:textId="77777777" w:rsidR="00797244" w:rsidRPr="00D1529E" w:rsidRDefault="007E5C4A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16.795,51</w:t>
            </w:r>
            <w:r w:rsidR="00797244"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7244"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eura</w:t>
            </w:r>
            <w:proofErr w:type="spellEnd"/>
          </w:p>
        </w:tc>
      </w:tr>
    </w:tbl>
    <w:p w14:paraId="53484153" w14:textId="77777777" w:rsidR="00797244" w:rsidRPr="00D1529E" w:rsidRDefault="00797244" w:rsidP="0079724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5FEE13A" w14:textId="77777777" w:rsidR="00797244" w:rsidRPr="00D1529E" w:rsidRDefault="0079724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POKAZATELJ USPJEŠNOSTI</w:t>
      </w:r>
    </w:p>
    <w:p w14:paraId="6E1319E7" w14:textId="77777777" w:rsidR="00797244" w:rsidRPr="00D1529E" w:rsidRDefault="00797244" w:rsidP="007972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za mjeru 2.1.8.</w:t>
      </w:r>
    </w:p>
    <w:tbl>
      <w:tblPr>
        <w:tblW w:w="4309" w:type="pct"/>
        <w:tblLook w:val="04A0" w:firstRow="1" w:lastRow="0" w:firstColumn="1" w:lastColumn="0" w:noHBand="0" w:noVBand="1"/>
      </w:tblPr>
      <w:tblGrid>
        <w:gridCol w:w="2180"/>
        <w:gridCol w:w="1504"/>
        <w:gridCol w:w="1378"/>
        <w:gridCol w:w="1378"/>
        <w:gridCol w:w="1378"/>
      </w:tblGrid>
      <w:tr w:rsidR="00797244" w:rsidRPr="00D1529E" w14:paraId="4064950C" w14:textId="77777777" w:rsidTr="00797244">
        <w:trPr>
          <w:trHeight w:val="675"/>
        </w:trPr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D596B8" w14:textId="77777777" w:rsidR="00797244" w:rsidRPr="00D1529E" w:rsidRDefault="0079724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pokazatelj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rezultata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040EF3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početna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broj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zaposl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E4EBA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ciljna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2024.</w:t>
            </w:r>
          </w:p>
        </w:tc>
        <w:tc>
          <w:tcPr>
            <w:tcW w:w="1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F163B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OSTVARENO 1-6/2024</w:t>
            </w:r>
          </w:p>
        </w:tc>
      </w:tr>
      <w:tr w:rsidR="00797244" w:rsidRPr="00D1529E" w14:paraId="58625FF7" w14:textId="77777777" w:rsidTr="00797244">
        <w:trPr>
          <w:trHeight w:val="675"/>
        </w:trPr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B6CF5D" w14:textId="77777777" w:rsidR="00797244" w:rsidRPr="00D1529E" w:rsidRDefault="00797244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Redovita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isplata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plaća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ostalih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rashoda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zaposlene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riznica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E131B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6FB112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E8FD92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549198" w14:textId="77777777" w:rsidR="00797244" w:rsidRPr="00D1529E" w:rsidRDefault="00797244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</w:tr>
    </w:tbl>
    <w:p w14:paraId="51086836" w14:textId="77777777" w:rsidR="00797244" w:rsidRPr="00D1529E" w:rsidRDefault="00797244" w:rsidP="0079724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A92C585" w14:textId="77777777" w:rsidR="00797244" w:rsidRPr="00D1529E" w:rsidRDefault="00797244" w:rsidP="00186B5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7BB05A5A" w14:textId="77777777" w:rsidR="002A69B4" w:rsidRPr="00D1529E" w:rsidRDefault="002A69B4" w:rsidP="002A69B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529E">
        <w:rPr>
          <w:rFonts w:ascii="Arial" w:hAnsi="Arial" w:cs="Arial"/>
          <w:b/>
          <w:bCs/>
          <w:sz w:val="20"/>
          <w:szCs w:val="20"/>
        </w:rPr>
        <w:t>PROGRAM 2102: REDOVNA DJELATNOST OSNOVNIH ŠKOLA – IZNAD STANDARDA</w:t>
      </w:r>
    </w:p>
    <w:p w14:paraId="37872322" w14:textId="77777777" w:rsidR="002A69B4" w:rsidRPr="00D1529E" w:rsidRDefault="002A69B4" w:rsidP="002A69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5BB3AE" w14:textId="77777777" w:rsidR="002A69B4" w:rsidRPr="00D1529E" w:rsidRDefault="002A69B4" w:rsidP="002A69B4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A210201 MATERIJALNI RASHODI OŠ PO STVARNOM TROŠKU IZNAD STANDARDA</w:t>
      </w:r>
    </w:p>
    <w:p w14:paraId="1708FC5F" w14:textId="77777777" w:rsidR="002A69B4" w:rsidRPr="00D1529E" w:rsidRDefault="002A69B4" w:rsidP="002A69B4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Aktivnost Materijalni rashodi OŠ po stvarnom trošku iznad standarda obuhvaća financiranje troškova energenata (električna energija, lož ulje i plin), troškova  osiguranja imovine i osoba, troškova tekućeg održavanja radi neometanog odvijanja nastavnog procesa te troškove prijevoza učenika. Sredstva se osiguravaju iz županijskog proračuna.</w:t>
      </w:r>
    </w:p>
    <w:p w14:paraId="4EC67A0A" w14:textId="77777777" w:rsidR="002A69B4" w:rsidRPr="00D1529E" w:rsidRDefault="002A69B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44ADF2" w14:textId="77777777" w:rsidR="002A69B4" w:rsidRPr="00D1529E" w:rsidRDefault="002A69B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CILJ USPJEŠNOSTI (mjere iz Provedbenog programa IŽ 2022-2025)</w:t>
      </w:r>
    </w:p>
    <w:p w14:paraId="78D1EE5C" w14:textId="77777777" w:rsidR="002A69B4" w:rsidRPr="00D1529E" w:rsidRDefault="002A69B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2.1.2. Osiguranje i poboljšanje dostupnosti odgoja i obrazovanja djeci i njihovim roditeljima</w:t>
      </w:r>
    </w:p>
    <w:p w14:paraId="28B22A45" w14:textId="77777777" w:rsidR="002A69B4" w:rsidRPr="00D1529E" w:rsidRDefault="002A69B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Cilj je ostvaren.</w:t>
      </w:r>
    </w:p>
    <w:p w14:paraId="560C73CE" w14:textId="77777777" w:rsidR="002A69B4" w:rsidRDefault="002A69B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C37E67" w14:textId="77777777" w:rsidR="00B47DD4" w:rsidRDefault="00B47DD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D503B9" w14:textId="77777777" w:rsidR="00B47DD4" w:rsidRPr="00D1529E" w:rsidRDefault="00B47DD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FC7C90" w14:textId="77777777" w:rsidR="002A69B4" w:rsidRPr="00D1529E" w:rsidRDefault="002A69B4" w:rsidP="002A69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POKAZATELJ USPJEŠNOSTI</w:t>
      </w:r>
    </w:p>
    <w:p w14:paraId="43438E88" w14:textId="77777777" w:rsidR="007E5C4A" w:rsidRPr="00D1529E" w:rsidRDefault="007E5C4A" w:rsidP="007E5C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za mjeru 2.1.2.</w:t>
      </w:r>
    </w:p>
    <w:tbl>
      <w:tblPr>
        <w:tblW w:w="4323" w:type="pct"/>
        <w:tblLook w:val="04A0" w:firstRow="1" w:lastRow="0" w:firstColumn="1" w:lastColumn="0" w:noHBand="0" w:noVBand="1"/>
      </w:tblPr>
      <w:tblGrid>
        <w:gridCol w:w="2489"/>
        <w:gridCol w:w="1562"/>
        <w:gridCol w:w="1562"/>
        <w:gridCol w:w="780"/>
        <w:gridCol w:w="1451"/>
      </w:tblGrid>
      <w:tr w:rsidR="007E5C4A" w:rsidRPr="00D1529E" w14:paraId="11529D09" w14:textId="77777777" w:rsidTr="007E5C4A">
        <w:trPr>
          <w:trHeight w:val="624"/>
        </w:trPr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FD8BE" w14:textId="77777777" w:rsidR="007E5C4A" w:rsidRPr="00D1529E" w:rsidRDefault="007E5C4A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pokazatelj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rezultata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AA2A1" w14:textId="77777777" w:rsidR="007E5C4A" w:rsidRPr="00D1529E" w:rsidRDefault="007E5C4A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početna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6DB768" w14:textId="77777777" w:rsidR="007E5C4A" w:rsidRPr="00D1529E" w:rsidRDefault="007E5C4A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ciljna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2024.</w:t>
            </w:r>
          </w:p>
        </w:tc>
        <w:tc>
          <w:tcPr>
            <w:tcW w:w="1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1DE1C" w14:textId="77777777" w:rsidR="007E5C4A" w:rsidRPr="00D1529E" w:rsidRDefault="007E5C4A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OSTVARENO 1-6-2024</w:t>
            </w:r>
          </w:p>
        </w:tc>
      </w:tr>
      <w:tr w:rsidR="007E5C4A" w:rsidRPr="00D1529E" w14:paraId="4E65AF4A" w14:textId="77777777" w:rsidTr="007E5C4A">
        <w:trPr>
          <w:trHeight w:val="624"/>
        </w:trPr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F12FA" w14:textId="77777777" w:rsidR="007E5C4A" w:rsidRPr="00D1529E" w:rsidRDefault="007E5C4A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Pokrivanje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energenata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prijevoza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učenika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usluga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održavanja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premije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osiguranja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nesmetano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odvijanje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nastavnog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procesa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67B6D8" w14:textId="77777777" w:rsidR="007E5C4A" w:rsidRPr="00D1529E" w:rsidRDefault="007E5C4A">
            <w:pPr>
              <w:spacing w:after="160"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44.099,89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eura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E54E3" w14:textId="77777777" w:rsidR="007E5C4A" w:rsidRPr="00D1529E" w:rsidRDefault="007E5C4A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35.428,38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eura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6B48D4" w14:textId="77777777" w:rsidR="007E5C4A" w:rsidRPr="00D1529E" w:rsidRDefault="007E5C4A">
            <w:pPr>
              <w:spacing w:after="16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5C7FB" w14:textId="77777777" w:rsidR="007E5C4A" w:rsidRPr="00D1529E" w:rsidRDefault="007E5C4A">
            <w:pPr>
              <w:spacing w:after="160"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8.671,51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eura</w:t>
            </w:r>
            <w:proofErr w:type="spellEnd"/>
          </w:p>
        </w:tc>
      </w:tr>
    </w:tbl>
    <w:p w14:paraId="2E02922F" w14:textId="77777777" w:rsidR="007E5C4A" w:rsidRPr="00D1529E" w:rsidRDefault="007E5C4A" w:rsidP="007E5C4A">
      <w:pPr>
        <w:spacing w:line="276" w:lineRule="auto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33AEE8EC" w14:textId="77777777" w:rsidR="007E5C4A" w:rsidRPr="00D1529E" w:rsidRDefault="007E5C4A" w:rsidP="007E5C4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529E">
        <w:rPr>
          <w:rFonts w:ascii="Arial" w:hAnsi="Arial" w:cs="Arial"/>
          <w:b/>
          <w:bCs/>
          <w:sz w:val="20"/>
          <w:szCs w:val="20"/>
        </w:rPr>
        <w:t>PROGRAM 2301 i 2302: PROGRAMI OBRAZOVANJA – IZNAD STANDARDA</w:t>
      </w:r>
    </w:p>
    <w:p w14:paraId="582A6306" w14:textId="77777777" w:rsidR="007E5C4A" w:rsidRPr="00D1529E" w:rsidRDefault="007E5C4A" w:rsidP="007E5C4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25CD58" w14:textId="77777777" w:rsidR="007E5C4A" w:rsidRPr="00D1529E" w:rsidRDefault="007E5C4A" w:rsidP="007E5C4A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AKTVNOST A230102: ŽUPANIJSKA NATJECANJA</w:t>
      </w:r>
    </w:p>
    <w:p w14:paraId="5E43A5F3" w14:textId="77777777" w:rsidR="007E5C4A" w:rsidRPr="00D1529E" w:rsidRDefault="007E5C4A" w:rsidP="007E5C4A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Županijska natjecanja odnose se na financiranje prijevoza učenika na natjecanjima znanja i sportskim natjecanjima na županijskoj razini. Troškovi se financiraju sredstvima Istarske županije i Sportskog saveza IŽ.</w:t>
      </w:r>
    </w:p>
    <w:p w14:paraId="64423437" w14:textId="77777777" w:rsidR="00B47DD4" w:rsidRPr="00D1529E" w:rsidRDefault="00B47DD4" w:rsidP="007E5C4A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5ADA131F" w14:textId="77777777" w:rsidR="007E5C4A" w:rsidRPr="00D1529E" w:rsidRDefault="007E5C4A" w:rsidP="007E5C4A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7B1C70BD" w14:textId="77777777" w:rsidR="007E5C4A" w:rsidRPr="00D1529E" w:rsidRDefault="007E5C4A" w:rsidP="007E5C4A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A230106: ŠKOLSKA KUHINJA</w:t>
      </w:r>
    </w:p>
    <w:p w14:paraId="0D1DF2C2" w14:textId="77777777" w:rsidR="007E5C4A" w:rsidRPr="00D1529E" w:rsidRDefault="007E5C4A" w:rsidP="007E5C4A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 xml:space="preserve">Polaznici produženog boravka koriste ručak koji financiraju roditelji-skrbnici u iznosu od  1,80 eura po obroku. </w:t>
      </w:r>
    </w:p>
    <w:p w14:paraId="50F6A5C3" w14:textId="77777777" w:rsidR="007E5C4A" w:rsidRPr="00D1529E" w:rsidRDefault="007E5C4A" w:rsidP="007E5C4A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214206E7" w14:textId="77777777" w:rsidR="007E5C4A" w:rsidRPr="00D1529E" w:rsidRDefault="007E5C4A" w:rsidP="007E5C4A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A230107: PRODUŽENI BORAVAK</w:t>
      </w:r>
    </w:p>
    <w:p w14:paraId="7D0F9652" w14:textId="77777777" w:rsidR="007E5C4A" w:rsidRPr="00D1529E" w:rsidRDefault="007E5C4A" w:rsidP="007E5C4A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Produženi boravak neobvezan je oblik odgojno-obrazovnog rada namijenjen učenicima razredne nastave koji se provodi izvan redovite nastave i ima svoje pedagoške, odgojne, zdravstvene i socijalne vrijednosti. Program produženog boravka provodi se dugi niz godina. U novoj školskoj godini organizirane su 2 heterogene grupe učenika u produženom boravku.</w:t>
      </w:r>
    </w:p>
    <w:p w14:paraId="5A06AFCA" w14:textId="77777777" w:rsidR="007E5C4A" w:rsidRPr="00D1529E" w:rsidRDefault="007E5C4A" w:rsidP="00D1529E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Učenici su u rad produženog boravka uključeni na bazi ugovora koji roditelji-skrbnici sklapaju početkom nastavne godine na vrijeme od 10 mjeseci po cijeni 2,65€ po danu odnosno 42,40 eur mjesečno Trenutno uslugu produženog boravka koristi 45 učenika.</w:t>
      </w:r>
    </w:p>
    <w:p w14:paraId="4D92B6B8" w14:textId="77777777" w:rsidR="00E128E1" w:rsidRPr="00D1529E" w:rsidRDefault="00D1529E" w:rsidP="00E128E1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Plaće</w:t>
      </w:r>
      <w:r w:rsidR="007E5C4A" w:rsidRPr="00D1529E">
        <w:rPr>
          <w:rFonts w:ascii="Arial" w:hAnsi="Arial" w:cs="Arial"/>
          <w:bCs/>
          <w:sz w:val="20"/>
          <w:szCs w:val="20"/>
        </w:rPr>
        <w:t xml:space="preserve"> učitelja u produženom boravku financiraju Općina Kršan u 100% iznosu.</w:t>
      </w:r>
    </w:p>
    <w:p w14:paraId="10787E9F" w14:textId="77777777" w:rsidR="00D1529E" w:rsidRPr="00D1529E" w:rsidRDefault="00D1529E" w:rsidP="00E128E1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799E6210" w14:textId="77777777" w:rsidR="00E128E1" w:rsidRPr="00D1529E" w:rsidRDefault="00E128E1" w:rsidP="00E128E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AKTIVNOST A230110- NOVIGRADSKO PROLJEĆE</w:t>
      </w:r>
    </w:p>
    <w:p w14:paraId="4C250AE1" w14:textId="77777777" w:rsidR="00E128E1" w:rsidRPr="00D1529E" w:rsidRDefault="00E128E1" w:rsidP="00E128E1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 xml:space="preserve">Planirana su sredstva koje financira Općina Kršan za sudjelovanje literarno talentiranih učenika na odlazak na van učioničke radionice u okolici Roča. </w:t>
      </w:r>
      <w:r w:rsidRPr="00D1529E">
        <w:rPr>
          <w:rFonts w:ascii="Arial" w:hAnsi="Arial" w:cs="Arial"/>
          <w:bCs/>
          <w:sz w:val="20"/>
          <w:szCs w:val="20"/>
        </w:rPr>
        <w:t xml:space="preserve">Škola stvaralaštva „Novigradsko proljeće“je </w:t>
      </w:r>
      <w:r w:rsidRPr="00D1529E">
        <w:rPr>
          <w:rFonts w:ascii="Arial" w:hAnsi="Arial" w:cs="Arial"/>
          <w:sz w:val="20"/>
          <w:szCs w:val="20"/>
        </w:rPr>
        <w:t>smotra stvaralaštva darovitih učenika osnovne škole koji se u sklopu izvannastavnih aktivnosti bave stvaralaštvom u jezično-umjetničkom području i učitelja koji su se istakli radom u jezično-umjetničkom području. Izvor financiranja je Općina Kršan.</w:t>
      </w:r>
    </w:p>
    <w:p w14:paraId="441F385F" w14:textId="77777777" w:rsidR="00D1529E" w:rsidRPr="00D1529E" w:rsidRDefault="00D1529E" w:rsidP="00E128E1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Nije se realizirala aktivnost.</w:t>
      </w:r>
    </w:p>
    <w:p w14:paraId="7CC27E28" w14:textId="77777777" w:rsidR="00E128E1" w:rsidRPr="00D1529E" w:rsidRDefault="00E128E1" w:rsidP="00E128E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C6EC914" w14:textId="77777777" w:rsidR="00E128E1" w:rsidRPr="00D1529E" w:rsidRDefault="00E128E1" w:rsidP="00E128E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AKTIVNOST A230115- OSTALI PROGRAMI I PROJEKTI</w:t>
      </w:r>
    </w:p>
    <w:p w14:paraId="5124EA8B" w14:textId="77777777" w:rsidR="00E128E1" w:rsidRPr="00D1529E" w:rsidRDefault="00E128E1" w:rsidP="00E128E1">
      <w:pPr>
        <w:pStyle w:val="ListParagraph"/>
        <w:jc w:val="both"/>
        <w:rPr>
          <w:rFonts w:ascii="Arial" w:hAnsi="Arial" w:cs="Arial"/>
          <w:sz w:val="20"/>
          <w:szCs w:val="20"/>
          <w:lang w:eastAsia="hr-HR"/>
        </w:rPr>
      </w:pPr>
      <w:r w:rsidRPr="00D1529E">
        <w:rPr>
          <w:rFonts w:ascii="Arial" w:hAnsi="Arial" w:cs="Arial"/>
          <w:sz w:val="20"/>
          <w:szCs w:val="20"/>
          <w:lang w:eastAsia="hr-HR"/>
        </w:rPr>
        <w:t>Namjenski prihodi od 1.327,23 Eur koje financira Općina Kršan za podmirivanje troškova za usluge mobilnih uređaja, troškova za sređivanje arhivske građe u matičnoj školi te ostalih rashoda poslovanja</w:t>
      </w:r>
    </w:p>
    <w:p w14:paraId="1046AE04" w14:textId="77777777" w:rsidR="00FA1E06" w:rsidRPr="00D1529E" w:rsidRDefault="00FA1E06" w:rsidP="00E128E1">
      <w:pPr>
        <w:pStyle w:val="ListParagraph"/>
        <w:jc w:val="both"/>
        <w:rPr>
          <w:rFonts w:ascii="Arial" w:hAnsi="Arial" w:cs="Arial"/>
          <w:sz w:val="20"/>
          <w:szCs w:val="20"/>
          <w:lang w:eastAsia="hr-HR"/>
        </w:rPr>
      </w:pPr>
    </w:p>
    <w:p w14:paraId="028E88ED" w14:textId="77777777" w:rsidR="00FA1E06" w:rsidRPr="00D1529E" w:rsidRDefault="00FA1E06" w:rsidP="00FA1E06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 xml:space="preserve">AKTIVNOST </w:t>
      </w:r>
      <w:r w:rsidR="007237CD" w:rsidRPr="00D1529E">
        <w:rPr>
          <w:rFonts w:ascii="Arial" w:hAnsi="Arial" w:cs="Arial"/>
          <w:bCs/>
          <w:sz w:val="20"/>
          <w:szCs w:val="20"/>
        </w:rPr>
        <w:t>A</w:t>
      </w:r>
      <w:r w:rsidRPr="00D1529E">
        <w:rPr>
          <w:rFonts w:ascii="Arial" w:hAnsi="Arial" w:cs="Arial"/>
          <w:bCs/>
          <w:sz w:val="20"/>
          <w:szCs w:val="20"/>
        </w:rPr>
        <w:t>230116: ŠKOLSKI LIST, ČASOPISI I KNJIGE</w:t>
      </w:r>
    </w:p>
    <w:p w14:paraId="3127ABCA" w14:textId="77777777" w:rsidR="00FA1E06" w:rsidRPr="00D1529E" w:rsidRDefault="00FA1E06" w:rsidP="00FA1E06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 xml:space="preserve">Nadležno ministarstvo za obrazovanje financira nabavu udžbenika za sve učenike osnovne škole. </w:t>
      </w:r>
    </w:p>
    <w:p w14:paraId="59F626FF" w14:textId="77777777" w:rsidR="00670FB0" w:rsidRPr="00D1529E" w:rsidRDefault="00670FB0" w:rsidP="00FA1E06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5342E179" w14:textId="77777777" w:rsidR="00670FB0" w:rsidRPr="00D1529E" w:rsidRDefault="00670FB0" w:rsidP="00670FB0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A230184: ZAVIČAJNA NASTAVA</w:t>
      </w:r>
    </w:p>
    <w:p w14:paraId="47D0BAD2" w14:textId="77777777" w:rsidR="00670FB0" w:rsidRPr="00D1529E" w:rsidRDefault="00670FB0" w:rsidP="00670FB0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Ideja o Zavičajnoj nastavi na području Istarske županije te njena implementacija u predškolske i školske ustanove inicirana je s ciljem očuvanja istarskih posebnosti, bogate multikulturalnosti, povijesti i tradicije. Voljeti svoj kraj uči se od malih nogu, što je i polazišna točka samog projekta koji djecu želi upoznati sa šarolikim multikulturnim istarskim identitetom, njenom tradicijom, običajima i poviješću. Sredstva za troškove provedbe projekta osigurava osnivač.</w:t>
      </w:r>
    </w:p>
    <w:p w14:paraId="2D9BD84A" w14:textId="77777777" w:rsidR="007237CD" w:rsidRPr="00D1529E" w:rsidRDefault="007237CD" w:rsidP="00670FB0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EC56C18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A230199: ŠKOLSKA SHEMA</w:t>
      </w:r>
    </w:p>
    <w:p w14:paraId="06D0AD10" w14:textId="77777777" w:rsidR="007237CD" w:rsidRPr="00D1529E" w:rsidRDefault="007237CD" w:rsidP="007237CD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Školska shema odnosi se na financiranje Agencije za plaćanja u poljoprivredi, ribarstvu i ruralnom razvoju svježeg voća, mlijeka i mliječnih proizvoda za svu djecu osnovne škole.</w:t>
      </w:r>
    </w:p>
    <w:p w14:paraId="0E8BF836" w14:textId="77777777" w:rsidR="007237CD" w:rsidRPr="00D1529E" w:rsidRDefault="007237CD" w:rsidP="007237CD">
      <w:pPr>
        <w:pStyle w:val="ListParagraph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ABDE857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A230202: GRAĐANSKI ODGOJ</w:t>
      </w:r>
    </w:p>
    <w:p w14:paraId="52871856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Građanski odgoj i obrazovanje (GOO), kao izvannastavna aktivnost za učenike viših razreda, područje je odgoja i obrazovanja kojim se kod učenika i učenica razvijaju znanja, sposobnosti i vještine demokratske vrijednosti i stavovi, važni za odgovorno i aktivno sudjelovanje u društvu. Učiteljice koje provode program prošle su cjelovitu edukaciju svih područja GOO-a. Uvođenje ovog programa pokrenula je Istarska županija u školskoj godini 2018/2019. u našoj i još deset škola kao eksperimentalni program u izvannastavnoj aktivnosti. U ovoj školskoj godini program provodi većina škola.</w:t>
      </w:r>
    </w:p>
    <w:p w14:paraId="23BD8711" w14:textId="77777777" w:rsidR="00E128E1" w:rsidRDefault="00E128E1" w:rsidP="00E128E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8F35943" w14:textId="77777777" w:rsidR="00B47DD4" w:rsidRDefault="00B47DD4" w:rsidP="00E128E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AB4411E" w14:textId="77777777" w:rsidR="00B47DD4" w:rsidRPr="00D1529E" w:rsidRDefault="00B47DD4" w:rsidP="00E128E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0331DAD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A230203: MEDNI DAN</w:t>
      </w:r>
    </w:p>
    <w:p w14:paraId="64064066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Program školskog mednog dana i promocije hrvatskih pčelara u organizaciji je Agencije za plaćanje u poljoprivredi, ribarstvu i ruralnom razvoju. Na dan Sv. Ambrozija, zaštitnika pčela i pčelara, nastavnici putem edukativne slikovnice i edukativne prezentacije prilagođene dobi djece prvog razreda, održavaju radionice za djecu o važnosti i značaju pčelarstva.</w:t>
      </w:r>
    </w:p>
    <w:p w14:paraId="5EE17EFE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0BD1AC5F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A230208: PREHRANA ZA UČENIKE U OŠ</w:t>
      </w:r>
    </w:p>
    <w:p w14:paraId="05CE60AD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 xml:space="preserve">Radi se aktivnosti koja je započela u siječnju 2023. godine, a odnosi se na osiguravanje besplatne prehrane - marende za sve učenike OŠ. Sredstva se doznačuju iz državnog proračuna (MZO), do 1,33 eur po obroku/učeniku dnevno. Planirani su rashodi po realnoj procjeni ostvarenja istih koji služe za financiranje prehrane učenika dok borave u školi u skladu s propisanim normativima koje donosi ministarstvo nadležno za zdravstvo. Tjedni jelovnik objavljuje se na web stranici škole. U cilju očuvanja zdravlja učenika u školi se svakodnevno </w:t>
      </w:r>
      <w:r w:rsidR="00D1529E" w:rsidRPr="00D1529E">
        <w:rPr>
          <w:rFonts w:ascii="Arial" w:hAnsi="Arial" w:cs="Arial"/>
          <w:bCs/>
          <w:sz w:val="20"/>
          <w:szCs w:val="20"/>
        </w:rPr>
        <w:t xml:space="preserve">pripremaju svježi </w:t>
      </w:r>
      <w:r w:rsidRPr="00D1529E">
        <w:rPr>
          <w:rFonts w:ascii="Arial" w:hAnsi="Arial" w:cs="Arial"/>
          <w:bCs/>
          <w:sz w:val="20"/>
          <w:szCs w:val="20"/>
        </w:rPr>
        <w:t>obroci. Prehrana se posluž</w:t>
      </w:r>
      <w:r w:rsidR="00D1529E" w:rsidRPr="00D1529E">
        <w:rPr>
          <w:rFonts w:ascii="Arial" w:hAnsi="Arial" w:cs="Arial"/>
          <w:bCs/>
          <w:sz w:val="20"/>
          <w:szCs w:val="20"/>
        </w:rPr>
        <w:t>uje u blagovaonici.</w:t>
      </w:r>
    </w:p>
    <w:p w14:paraId="595F8E1C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41DBAA07" w14:textId="77777777" w:rsidR="007237CD" w:rsidRPr="00D1529E" w:rsidRDefault="007237CD" w:rsidP="007237C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 xml:space="preserve">AKTIVNOST A230209- MENSTRUALNE POTREPŠTINE  </w:t>
      </w:r>
    </w:p>
    <w:p w14:paraId="2316B0ED" w14:textId="77777777" w:rsidR="007237CD" w:rsidRPr="00D1529E" w:rsidRDefault="007237CD" w:rsidP="007237CD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Potkraj nastavne godine 2022./2023., od strane Ministarstva rada, mirovinskog sustava, obitelji i socijalne politike, školi su doznačena sredstva za nabavku higijenskih potrepština za sve djevojčice koje su polaznice škole. Sredstva u iznosu od 156,10 Eur, koja su nam doznačena na račun škole u potpunosti su utrošena.</w:t>
      </w:r>
    </w:p>
    <w:p w14:paraId="388E3A88" w14:textId="77777777" w:rsidR="007237CD" w:rsidRPr="00D1529E" w:rsidRDefault="007237CD" w:rsidP="007237C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368435B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230211: ŠKOSLKI PSIHOLOZI</w:t>
      </w:r>
    </w:p>
    <w:p w14:paraId="11ECCCA2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Za ovu aktivnost se sredstva osiguravaju iz županijskog proračuna, a koristi se za financiranje školskog psihologa kojeg je škola dobila na pola radnog vremena.</w:t>
      </w:r>
    </w:p>
    <w:p w14:paraId="44731CC5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0F239B12" w14:textId="77777777" w:rsidR="003F4EB4" w:rsidRPr="00D1529E" w:rsidRDefault="003F4EB4" w:rsidP="007237CD">
      <w:pPr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6400AB6C" w14:textId="77777777" w:rsidR="00670FB0" w:rsidRPr="00D1529E" w:rsidRDefault="00670FB0" w:rsidP="00E128E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8BD3CAF" w14:textId="77777777" w:rsidR="007237CD" w:rsidRPr="00D1529E" w:rsidRDefault="007237CD" w:rsidP="007237C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529E">
        <w:rPr>
          <w:rFonts w:ascii="Arial" w:hAnsi="Arial" w:cs="Arial"/>
          <w:b/>
          <w:bCs/>
          <w:sz w:val="20"/>
          <w:szCs w:val="20"/>
        </w:rPr>
        <w:t>PROGRAM 2401: INVESTICIJSKO ODRŽAVANJE OSNOVNIH ŠKOLA</w:t>
      </w:r>
    </w:p>
    <w:p w14:paraId="5ECDAF02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3BFCABA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A240101: INVESTICIJSKO ODRŽAVANJE OSNOVNIH ŠKOLA</w:t>
      </w:r>
    </w:p>
    <w:p w14:paraId="3FD103BB" w14:textId="77777777" w:rsidR="007237CD" w:rsidRPr="00D1529E" w:rsidRDefault="007237CD" w:rsidP="007237CD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Decentraliziranim sredstvima i sredstvima iznad standarda iz proračuna IŽ financira se investicijsko i tekuće održavanje škola.</w:t>
      </w:r>
    </w:p>
    <w:p w14:paraId="508905AF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CILJ USPJEŠNOSTI (mjere iz Provedbenog programa IŽ 2022-2025)</w:t>
      </w:r>
    </w:p>
    <w:p w14:paraId="33ABE1DE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2.1.1. Izgradnja, rekonstrukcija, dogradnja i opremanje osnovnih i srednjih škola, te učeničkih domova</w:t>
      </w:r>
    </w:p>
    <w:p w14:paraId="6404CC93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Cilj je ostvaren.</w:t>
      </w:r>
    </w:p>
    <w:p w14:paraId="272915D2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DAC6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3D4B1" w14:textId="77777777" w:rsidR="007237CD" w:rsidRPr="00D1529E" w:rsidRDefault="007237CD" w:rsidP="007237C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529E">
        <w:rPr>
          <w:rFonts w:ascii="Arial" w:hAnsi="Arial" w:cs="Arial"/>
          <w:b/>
          <w:bCs/>
          <w:sz w:val="20"/>
          <w:szCs w:val="20"/>
        </w:rPr>
        <w:t>PROGRAM 2405: OPREMANJE U OSNOVNIM ŠKOLAMA</w:t>
      </w:r>
    </w:p>
    <w:p w14:paraId="7BB36064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B85D138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K240501: ŠKOLSKI NAMJEŠTAJ I OPREMA</w:t>
      </w:r>
    </w:p>
    <w:p w14:paraId="47B8129B" w14:textId="77777777" w:rsidR="007237CD" w:rsidRPr="00D1529E" w:rsidRDefault="007237CD" w:rsidP="007237CD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 xml:space="preserve">Aktivnost opremanja školskim namještajem i </w:t>
      </w:r>
      <w:r w:rsidR="00D1529E" w:rsidRPr="00D1529E">
        <w:rPr>
          <w:rFonts w:ascii="Arial" w:hAnsi="Arial" w:cs="Arial"/>
          <w:bCs/>
          <w:sz w:val="20"/>
          <w:szCs w:val="20"/>
        </w:rPr>
        <w:t xml:space="preserve">ostalom školskom </w:t>
      </w:r>
      <w:r w:rsidRPr="00D1529E">
        <w:rPr>
          <w:rFonts w:ascii="Arial" w:hAnsi="Arial" w:cs="Arial"/>
          <w:bCs/>
          <w:sz w:val="20"/>
          <w:szCs w:val="20"/>
        </w:rPr>
        <w:t xml:space="preserve">opremom financira se iz više izvora. Novim nabavama namještaja i drugih školskih pomagala nastoji se unaprijediti rad škole sudjelovanjem u suvremenim promjenama, poticanjem uvođenja i primjene novih metoda i oblika nastavnoga rada. </w:t>
      </w:r>
    </w:p>
    <w:p w14:paraId="7BAEA629" w14:textId="77777777" w:rsidR="007237CD" w:rsidRPr="00D1529E" w:rsidRDefault="007237CD" w:rsidP="007237CD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76297BA3" w14:textId="77777777" w:rsidR="007237CD" w:rsidRPr="00D1529E" w:rsidRDefault="007237CD" w:rsidP="007237CD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K240502: OPREMANJE KNJIŽNICA</w:t>
      </w:r>
    </w:p>
    <w:p w14:paraId="30790916" w14:textId="77777777" w:rsidR="007237CD" w:rsidRPr="00D1529E" w:rsidRDefault="007237CD" w:rsidP="007237CD">
      <w:pPr>
        <w:spacing w:line="276" w:lineRule="auto"/>
        <w:ind w:left="705"/>
        <w:jc w:val="both"/>
        <w:rPr>
          <w:rFonts w:ascii="Arial" w:hAnsi="Arial" w:cs="Arial"/>
          <w:bCs/>
          <w:sz w:val="20"/>
          <w:szCs w:val="20"/>
        </w:rPr>
      </w:pPr>
      <w:r w:rsidRPr="00D1529E">
        <w:rPr>
          <w:rFonts w:ascii="Arial" w:hAnsi="Arial" w:cs="Arial"/>
          <w:bCs/>
          <w:sz w:val="20"/>
          <w:szCs w:val="20"/>
        </w:rPr>
        <w:t>Aktivnost opremanja knjižnice obveznom lektirom i ostalim knjižnim fondom financira se nenamjenskim sredstvima osnivača, kao i nadležnog ministarstva.</w:t>
      </w:r>
    </w:p>
    <w:p w14:paraId="2E5E67FC" w14:textId="77777777" w:rsidR="00D1529E" w:rsidRPr="00D1529E" w:rsidRDefault="00D1529E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C803F6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Ciljevi su ostvareni.</w:t>
      </w:r>
    </w:p>
    <w:p w14:paraId="724CF744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B6D222" w14:textId="77777777" w:rsidR="00B47DD4" w:rsidRDefault="00B47DD4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A82184" w14:textId="77777777" w:rsidR="00B47DD4" w:rsidRDefault="00B47DD4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1AA384" w14:textId="77777777" w:rsidR="007237CD" w:rsidRPr="00D1529E" w:rsidRDefault="007237CD" w:rsidP="00723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POKAZATELJ USPJEŠNOSTI</w:t>
      </w:r>
    </w:p>
    <w:tbl>
      <w:tblPr>
        <w:tblW w:w="4323" w:type="pct"/>
        <w:tblLook w:val="04A0" w:firstRow="1" w:lastRow="0" w:firstColumn="1" w:lastColumn="0" w:noHBand="0" w:noVBand="1"/>
      </w:tblPr>
      <w:tblGrid>
        <w:gridCol w:w="2706"/>
        <w:gridCol w:w="1340"/>
        <w:gridCol w:w="1340"/>
        <w:gridCol w:w="997"/>
        <w:gridCol w:w="1461"/>
      </w:tblGrid>
      <w:tr w:rsidR="007237CD" w:rsidRPr="00D1529E" w14:paraId="65337E7A" w14:textId="77777777" w:rsidTr="007237CD">
        <w:trPr>
          <w:trHeight w:val="624"/>
        </w:trPr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FBB45" w14:textId="77777777" w:rsidR="007237CD" w:rsidRPr="00D1529E" w:rsidRDefault="007237CD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pokazatelj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rezultata</w:t>
            </w:r>
            <w:proofErr w:type="spellEnd"/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02860" w14:textId="77777777" w:rsidR="007237CD" w:rsidRPr="00D1529E" w:rsidRDefault="007237CD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početna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godina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D9C157" w14:textId="77777777" w:rsidR="007237CD" w:rsidRPr="00D1529E" w:rsidRDefault="007237CD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ciljna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vrijednost</w:t>
            </w:r>
            <w:proofErr w:type="spellEnd"/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2024.</w:t>
            </w:r>
          </w:p>
        </w:tc>
        <w:tc>
          <w:tcPr>
            <w:tcW w:w="1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B17F8" w14:textId="77777777" w:rsidR="007237CD" w:rsidRPr="00D1529E" w:rsidRDefault="007237CD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2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OSTVARENO 1-6/2024</w:t>
            </w:r>
          </w:p>
        </w:tc>
      </w:tr>
      <w:tr w:rsidR="007237CD" w:rsidRPr="00D1529E" w14:paraId="7A447E9C" w14:textId="77777777" w:rsidTr="007237CD">
        <w:trPr>
          <w:trHeight w:val="624"/>
        </w:trPr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7F20E" w14:textId="77777777" w:rsidR="007237CD" w:rsidRPr="00D1529E" w:rsidRDefault="007237CD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Opremanje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školskih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knjižnica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obveznom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lektirom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ostalom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knjižnom</w:t>
            </w:r>
            <w:proofErr w:type="spellEnd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građom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DAD80" w14:textId="77777777" w:rsidR="007237CD" w:rsidRPr="00D1529E" w:rsidRDefault="007237CD">
            <w:pPr>
              <w:spacing w:after="160"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Kontinuirano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D5B3A2" w14:textId="77777777" w:rsidR="007237CD" w:rsidRPr="00D1529E" w:rsidRDefault="007237CD">
            <w:pPr>
              <w:spacing w:after="160"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Kontinuirano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59272B" w14:textId="77777777" w:rsidR="007237CD" w:rsidRPr="00D1529E" w:rsidRDefault="007237CD">
            <w:pPr>
              <w:spacing w:after="160"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4063E2" w14:textId="77777777" w:rsidR="007237CD" w:rsidRPr="00D1529E" w:rsidRDefault="007237CD">
            <w:pPr>
              <w:spacing w:after="160" w:line="276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152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Kontinuirano</w:t>
            </w:r>
            <w:proofErr w:type="spellEnd"/>
          </w:p>
        </w:tc>
      </w:tr>
    </w:tbl>
    <w:p w14:paraId="30BA18A4" w14:textId="77777777" w:rsidR="00186B55" w:rsidRPr="00D1529E" w:rsidRDefault="00186B55" w:rsidP="007E5C4A">
      <w:pPr>
        <w:jc w:val="both"/>
        <w:rPr>
          <w:rFonts w:ascii="Arial" w:hAnsi="Arial" w:cs="Arial"/>
          <w:sz w:val="20"/>
          <w:szCs w:val="20"/>
        </w:rPr>
      </w:pPr>
    </w:p>
    <w:p w14:paraId="6E5009B1" w14:textId="77777777" w:rsidR="003F4EB4" w:rsidRDefault="003F4EB4" w:rsidP="007E5C4A">
      <w:pPr>
        <w:jc w:val="both"/>
        <w:rPr>
          <w:rFonts w:ascii="Arial" w:hAnsi="Arial" w:cs="Arial"/>
          <w:sz w:val="20"/>
          <w:szCs w:val="20"/>
        </w:rPr>
      </w:pPr>
    </w:p>
    <w:p w14:paraId="0F90BB66" w14:textId="77777777" w:rsidR="00B47DD4" w:rsidRDefault="00B47DD4" w:rsidP="007E5C4A">
      <w:pPr>
        <w:jc w:val="both"/>
        <w:rPr>
          <w:rFonts w:ascii="Arial" w:hAnsi="Arial" w:cs="Arial"/>
          <w:sz w:val="20"/>
          <w:szCs w:val="20"/>
        </w:rPr>
      </w:pPr>
    </w:p>
    <w:p w14:paraId="3E71E157" w14:textId="77777777" w:rsidR="00B47DD4" w:rsidRDefault="00B47DD4" w:rsidP="007E5C4A">
      <w:pPr>
        <w:jc w:val="both"/>
        <w:rPr>
          <w:rFonts w:ascii="Arial" w:hAnsi="Arial" w:cs="Arial"/>
          <w:sz w:val="20"/>
          <w:szCs w:val="20"/>
        </w:rPr>
      </w:pPr>
    </w:p>
    <w:p w14:paraId="31DEA3AB" w14:textId="77777777" w:rsidR="00B47DD4" w:rsidRPr="00D1529E" w:rsidRDefault="00B47DD4" w:rsidP="007E5C4A">
      <w:pPr>
        <w:jc w:val="both"/>
        <w:rPr>
          <w:rFonts w:ascii="Arial" w:hAnsi="Arial" w:cs="Arial"/>
          <w:sz w:val="20"/>
          <w:szCs w:val="20"/>
        </w:rPr>
      </w:pPr>
    </w:p>
    <w:p w14:paraId="4539A186" w14:textId="77777777" w:rsidR="003F4EB4" w:rsidRPr="00D1529E" w:rsidRDefault="003F4EB4" w:rsidP="007E5C4A">
      <w:pPr>
        <w:jc w:val="both"/>
        <w:rPr>
          <w:rFonts w:ascii="Arial" w:hAnsi="Arial" w:cs="Arial"/>
          <w:sz w:val="20"/>
          <w:szCs w:val="20"/>
        </w:rPr>
      </w:pPr>
    </w:p>
    <w:p w14:paraId="4EF679AE" w14:textId="77777777" w:rsidR="003F4EB4" w:rsidRPr="00D1529E" w:rsidRDefault="003F4EB4" w:rsidP="007E5C4A">
      <w:pPr>
        <w:jc w:val="both"/>
        <w:rPr>
          <w:rFonts w:ascii="Arial" w:hAnsi="Arial" w:cs="Arial"/>
          <w:sz w:val="20"/>
          <w:szCs w:val="20"/>
        </w:rPr>
      </w:pPr>
    </w:p>
    <w:p w14:paraId="60A6E68B" w14:textId="77777777" w:rsidR="003F4EB4" w:rsidRPr="00D1529E" w:rsidRDefault="003F4EB4" w:rsidP="007E5C4A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>Čepić, 25.07.2024.</w:t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  <w:t>Ravnateljica</w:t>
      </w:r>
    </w:p>
    <w:p w14:paraId="7DE756A2" w14:textId="77777777" w:rsidR="003F4EB4" w:rsidRPr="00D1529E" w:rsidRDefault="003F4EB4" w:rsidP="007E5C4A">
      <w:pPr>
        <w:jc w:val="both"/>
        <w:rPr>
          <w:rFonts w:ascii="Arial" w:hAnsi="Arial" w:cs="Arial"/>
          <w:sz w:val="20"/>
          <w:szCs w:val="20"/>
        </w:rPr>
      </w:pPr>
    </w:p>
    <w:p w14:paraId="2EF37386" w14:textId="77777777" w:rsidR="003F4EB4" w:rsidRPr="00D1529E" w:rsidRDefault="003F4EB4" w:rsidP="007E5C4A">
      <w:pPr>
        <w:jc w:val="both"/>
        <w:rPr>
          <w:rFonts w:ascii="Arial" w:hAnsi="Arial" w:cs="Arial"/>
          <w:sz w:val="20"/>
          <w:szCs w:val="20"/>
        </w:rPr>
      </w:pP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</w:r>
      <w:r w:rsidRPr="00D1529E">
        <w:rPr>
          <w:rFonts w:ascii="Arial" w:hAnsi="Arial" w:cs="Arial"/>
          <w:sz w:val="20"/>
          <w:szCs w:val="20"/>
        </w:rPr>
        <w:tab/>
        <w:t>Mirela Vidak, dipl.uč.</w:t>
      </w:r>
    </w:p>
    <w:sectPr w:rsidR="003F4EB4" w:rsidRPr="00D152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5639" w14:textId="77777777" w:rsidR="005C71F1" w:rsidRDefault="005C71F1" w:rsidP="00D1529E">
      <w:r>
        <w:separator/>
      </w:r>
    </w:p>
  </w:endnote>
  <w:endnote w:type="continuationSeparator" w:id="0">
    <w:p w14:paraId="7424EE07" w14:textId="77777777" w:rsidR="005C71F1" w:rsidRDefault="005C71F1" w:rsidP="00D1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3743227"/>
      <w:docPartObj>
        <w:docPartGallery w:val="Page Numbers (Bottom of Page)"/>
        <w:docPartUnique/>
      </w:docPartObj>
    </w:sdtPr>
    <w:sdtContent>
      <w:p w14:paraId="364786C5" w14:textId="77777777" w:rsidR="00D1529E" w:rsidRDefault="00D152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D4">
          <w:rPr>
            <w:noProof/>
          </w:rPr>
          <w:t>4</w:t>
        </w:r>
        <w:r>
          <w:fldChar w:fldCharType="end"/>
        </w:r>
      </w:p>
    </w:sdtContent>
  </w:sdt>
  <w:p w14:paraId="710A0935" w14:textId="77777777" w:rsidR="00D1529E" w:rsidRDefault="00D15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8C856" w14:textId="77777777" w:rsidR="005C71F1" w:rsidRDefault="005C71F1" w:rsidP="00D1529E">
      <w:r>
        <w:separator/>
      </w:r>
    </w:p>
  </w:footnote>
  <w:footnote w:type="continuationSeparator" w:id="0">
    <w:p w14:paraId="219C86F8" w14:textId="77777777" w:rsidR="005C71F1" w:rsidRDefault="005C71F1" w:rsidP="00D1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88CC"/>
    <w:multiLevelType w:val="singleLevel"/>
    <w:tmpl w:val="0C5088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394426DB"/>
    <w:multiLevelType w:val="hybridMultilevel"/>
    <w:tmpl w:val="A6B03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5993"/>
    <w:multiLevelType w:val="multilevel"/>
    <w:tmpl w:val="72D059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956910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784621">
    <w:abstractNumId w:val="0"/>
    <w:lvlOverride w:ilvl="0">
      <w:startOverride w:val="1"/>
    </w:lvlOverride>
  </w:num>
  <w:num w:numId="3" w16cid:durableId="1486825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28"/>
    <w:rsid w:val="00186B55"/>
    <w:rsid w:val="001E7A28"/>
    <w:rsid w:val="002A69B4"/>
    <w:rsid w:val="002D7641"/>
    <w:rsid w:val="003570FF"/>
    <w:rsid w:val="003F4EB4"/>
    <w:rsid w:val="005C71F1"/>
    <w:rsid w:val="00670FB0"/>
    <w:rsid w:val="007237CD"/>
    <w:rsid w:val="00797244"/>
    <w:rsid w:val="007E5C4A"/>
    <w:rsid w:val="00844732"/>
    <w:rsid w:val="00864B43"/>
    <w:rsid w:val="0098061E"/>
    <w:rsid w:val="00AB0E19"/>
    <w:rsid w:val="00B47DD4"/>
    <w:rsid w:val="00C14ECB"/>
    <w:rsid w:val="00D1529E"/>
    <w:rsid w:val="00E02ED9"/>
    <w:rsid w:val="00E128E1"/>
    <w:rsid w:val="00EA3DC1"/>
    <w:rsid w:val="00FA1E06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CFDE"/>
  <w15:docId w15:val="{1BE39851-8D35-492F-B3D3-4F9BC66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A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E7A2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7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5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9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15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9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Romina Miletić</cp:lastModifiedBy>
  <cp:revision>2</cp:revision>
  <dcterms:created xsi:type="dcterms:W3CDTF">2024-08-28T07:18:00Z</dcterms:created>
  <dcterms:modified xsi:type="dcterms:W3CDTF">2024-08-28T07:18:00Z</dcterms:modified>
</cp:coreProperties>
</file>